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highlight w:val="white"/>
        </w:rPr>
      </w:pPr>
      <w:r>
        <w:rPr>
          <w:rFonts w:ascii="Times New Roman;sans-serif" w:hAnsi="Times New Roman;sans-serif"/>
          <w:b/>
          <w:color w:val="000000"/>
          <w:sz w:val="22"/>
          <w:highlight w:val="white"/>
        </w:rPr>
        <w:t xml:space="preserve">UNITED STATES </w:t>
      </w:r>
    </w:p>
    <w:p>
      <w:pPr>
        <w:pStyle w:val="TextBody"/>
        <w:spacing w:lineRule="auto" w:line="288" w:before="0" w:after="0"/>
        <w:jc w:val="center"/>
        <w:rPr>
          <w:rFonts w:ascii="Times New Roman;sans-serif" w:hAnsi="Times New Roman;sans-serif"/>
          <w:b/>
          <w:color w:val="000000"/>
          <w:sz w:val="22"/>
          <w:highlight w:val="white"/>
        </w:rPr>
      </w:pPr>
      <w:r>
        <w:rPr>
          <w:rFonts w:ascii="Times New Roman;sans-serif" w:hAnsi="Times New Roman;sans-serif"/>
          <w:b/>
          <w:color w:val="000000"/>
          <w:sz w:val="22"/>
          <w:highlight w:val="white"/>
        </w:rPr>
        <w:t>SECURITIES AND EXCHANGE COMMISSION</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WASHINGTON, D.C. 20549</w:t>
      </w:r>
    </w:p>
    <w:tbl>
      <w:tblPr>
        <w:tblW w:w="1514" w:type="dxa"/>
        <w:jc w:val="center"/>
        <w:tblInd w:w="0" w:type="dxa"/>
        <w:tblCellMar>
          <w:top w:w="28" w:type="dxa"/>
          <w:left w:w="28" w:type="dxa"/>
          <w:bottom w:w="28" w:type="dxa"/>
          <w:right w:w="28" w:type="dxa"/>
        </w:tblCellMar>
      </w:tblPr>
      <w:tblGrid>
        <w:gridCol w:w="315"/>
        <w:gridCol w:w="277"/>
        <w:gridCol w:w="278"/>
        <w:gridCol w:w="188"/>
        <w:gridCol w:w="188"/>
        <w:gridCol w:w="268"/>
      </w:tblGrid>
      <w:tr>
        <w:trPr/>
        <w:tc>
          <w:tcPr>
            <w:tcW w:w="31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8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220" w:after="283"/>
              <w:jc w:val="right"/>
              <w:rPr>
                <w:rFonts w:ascii="Times New Roman;sans-serif" w:hAnsi="Times New Roman;sans-serif"/>
                <w:b/>
                <w:color w:val="000000"/>
                <w:sz w:val="22"/>
                <w:highlight w:val="white"/>
              </w:rPr>
            </w:pPr>
            <w:r>
              <w:rPr>
                <w:rFonts w:ascii="Times New Roman;sans-serif" w:hAnsi="Times New Roman;sans-serif"/>
                <w:b/>
                <w:color w:val="000000"/>
                <w:sz w:val="22"/>
                <w:highlight w:val="white"/>
              </w:rPr>
              <w:t xml:space="preserve">FORM </w:t>
            </w:r>
          </w:p>
        </w:tc>
        <w:tc>
          <w:tcPr>
            <w:tcW w:w="6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220" w:after="283"/>
              <w:jc w:val="left"/>
              <w:rPr>
                <w:rFonts w:ascii="Times New Roman;sans-serif" w:hAnsi="Times New Roman;sans-serif"/>
                <w:b/>
                <w:color w:val="000000"/>
                <w:sz w:val="22"/>
                <w:highlight w:val="white"/>
              </w:rPr>
            </w:pPr>
            <w:r>
              <w:rPr>
                <w:rFonts w:ascii="Times New Roman;sans-serif" w:hAnsi="Times New Roman;sans-serif"/>
                <w:b/>
                <w:color w:val="000000"/>
                <w:sz w:val="22"/>
                <w:highlight w:val="white"/>
              </w:rPr>
              <w:t>10-Q</w:t>
            </w:r>
          </w:p>
        </w:tc>
      </w:tr>
    </w:tbl>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127"/>
        <w:gridCol w:w="112"/>
        <w:gridCol w:w="112"/>
        <w:gridCol w:w="1488"/>
        <w:gridCol w:w="1488"/>
        <w:gridCol w:w="1488"/>
        <w:gridCol w:w="1488"/>
        <w:gridCol w:w="1488"/>
        <w:gridCol w:w="1514"/>
        <w:gridCol w:w="1077"/>
        <w:gridCol w:w="157"/>
      </w:tblGrid>
      <w:tr>
        <w:trPr/>
        <w:tc>
          <w:tcPr>
            <w:tcW w:w="12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9305" w:type="dxa"/>
            <w:gridSpan w:val="9"/>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8"/>
                <w:highlight w:val="white"/>
              </w:rPr>
            </w:pPr>
            <w:r>
              <w:rPr>
                <w:rFonts w:ascii="Times New Roman;sans-serif" w:hAnsi="Times New Roman;sans-serif"/>
                <w:b/>
                <w:color w:val="000000"/>
                <w:sz w:val="18"/>
                <w:highlight w:val="white"/>
              </w:rPr>
              <w:t>(Mark One)</w:t>
            </w:r>
          </w:p>
        </w:tc>
        <w:tc>
          <w:tcPr>
            <w:tcW w:w="107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spacing w:before="0" w:after="283"/>
              <w:jc w:val="center"/>
              <w:rPr>
                <w:color w:val="000000"/>
                <w:highlight w:val="white"/>
              </w:rPr>
            </w:pPr>
            <w:r>
              <w:rPr>
                <w:color w:val="000000"/>
                <w:highlight w:val="white"/>
              </w:rPr>
              <w:t>☑</w:t>
            </w:r>
          </w:p>
        </w:tc>
        <w:tc>
          <w:tcPr>
            <w:tcW w:w="8954"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color w:val="000000"/>
                <w:sz w:val="20"/>
                <w:highlight w:val="white"/>
              </w:rPr>
            </w:pPr>
            <w:r>
              <w:rPr>
                <w:rFonts w:ascii="Times New Roman;sans-serif" w:hAnsi="Times New Roman;sans-serif"/>
                <w:b/>
                <w:color w:val="000000"/>
                <w:sz w:val="20"/>
                <w:highlight w:val="white"/>
              </w:rPr>
              <w:t>QUARTERLY REPORT PURSUANT TO SECTION 13 OR 15(d) OF THE SECURITIES EXCHANGE ACT OF 1934</w:t>
            </w:r>
          </w:p>
        </w:tc>
        <w:tc>
          <w:tcPr>
            <w:tcW w:w="107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4815" w:type="dxa"/>
            <w:gridSpan w:val="6"/>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color w:val="000000"/>
                <w:sz w:val="18"/>
                <w:highlight w:val="white"/>
              </w:rPr>
            </w:pPr>
            <w:r>
              <w:rPr>
                <w:rFonts w:ascii="Times New Roman;sans-serif" w:hAnsi="Times New Roman;sans-serif"/>
                <w:b/>
                <w:color w:val="000000"/>
                <w:sz w:val="18"/>
                <w:highlight w:val="white"/>
              </w:rPr>
              <w:t>For the quarterly period ended</w:t>
            </w:r>
          </w:p>
        </w:tc>
        <w:tc>
          <w:tcPr>
            <w:tcW w:w="4490" w:type="dxa"/>
            <w:gridSpan w:val="3"/>
            <w:tcBorders/>
            <w:shd w:fill="auto" w:val="clear"/>
            <w:vAlign w:val="center"/>
          </w:tcPr>
          <w:p>
            <w:pPr>
              <w:pStyle w:val="TableContents"/>
              <w:spacing w:before="0" w:after="283"/>
              <w:rPr>
                <w:sz w:val="4"/>
                <w:szCs w:val="4"/>
              </w:rPr>
            </w:pPr>
            <w:r>
              <w:rPr>
                <w:sz w:val="4"/>
                <w:szCs w:val="4"/>
              </w:rPr>
            </w:r>
          </w:p>
        </w:tc>
        <w:tc>
          <w:tcPr>
            <w:tcW w:w="1077"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color w:val="000000"/>
                <w:sz w:val="18"/>
                <w:highlight w:val="white"/>
              </w:rPr>
            </w:pPr>
            <w:r>
              <w:rPr>
                <w:rFonts w:ascii="Times New Roman;sans-serif" w:hAnsi="Times New Roman;sans-serif"/>
                <w:b/>
                <w:color w:val="000000"/>
                <w:sz w:val="18"/>
                <w:highlight w:val="white"/>
              </w:rPr>
              <w:t>June 30, 2020</w:t>
            </w:r>
          </w:p>
        </w:tc>
        <w:tc>
          <w:tcPr>
            <w:tcW w:w="157" w:type="dxa"/>
            <w:tcBorders/>
            <w:shd w:fill="auto" w:val="clear"/>
          </w:tcPr>
          <w:p>
            <w:pPr>
              <w:pStyle w:val="TableContents"/>
              <w:spacing w:before="0" w:after="283"/>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OR</w:t>
            </w:r>
          </w:p>
        </w:tc>
        <w:tc>
          <w:tcPr>
            <w:tcW w:w="107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spacing w:before="0" w:after="283"/>
              <w:jc w:val="center"/>
              <w:rPr>
                <w:color w:val="000000"/>
                <w:highlight w:val="white"/>
              </w:rPr>
            </w:pPr>
            <w:r>
              <w:rPr>
                <w:color w:val="000000"/>
                <w:highlight w:val="white"/>
              </w:rPr>
              <w:t>☐</w:t>
            </w:r>
          </w:p>
        </w:tc>
        <w:tc>
          <w:tcPr>
            <w:tcW w:w="8954"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color w:val="000000"/>
                <w:sz w:val="20"/>
                <w:highlight w:val="white"/>
              </w:rPr>
            </w:pPr>
            <w:r>
              <w:rPr>
                <w:rFonts w:ascii="Times New Roman;sans-serif" w:hAnsi="Times New Roman;sans-serif"/>
                <w:b/>
                <w:color w:val="000000"/>
                <w:sz w:val="20"/>
                <w:highlight w:val="white"/>
              </w:rPr>
              <w:t>TRANSITION REPORT PURSUANT TO SECTION 13 OR 15(d) OF THE SECURITIES EXCHANGE ACT OF 1934</w:t>
            </w:r>
          </w:p>
        </w:tc>
        <w:tc>
          <w:tcPr>
            <w:tcW w:w="107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tcPr>
          <w:p>
            <w:pPr>
              <w:pStyle w:val="TableContents"/>
              <w:spacing w:before="0" w:after="283"/>
              <w:rPr>
                <w:sz w:val="4"/>
                <w:szCs w:val="4"/>
              </w:rPr>
            </w:pPr>
            <w:r>
              <w:rPr>
                <w:sz w:val="4"/>
                <w:szCs w:val="4"/>
              </w:rPr>
            </w:r>
          </w:p>
        </w:tc>
      </w:tr>
      <w:tr>
        <w:trPr/>
        <w:tc>
          <w:tcPr>
            <w:tcW w:w="9305" w:type="dxa"/>
            <w:gridSpan w:val="9"/>
            <w:tcBorders/>
            <w:shd w:fill="FFFFFF" w:val="clear"/>
            <w:tcMar>
              <w:top w:w="0" w:type="dxa"/>
              <w:left w:w="0" w:type="dxa"/>
              <w:bottom w:w="0" w:type="dxa"/>
              <w:right w:w="0" w:type="dxa"/>
            </w:tcMar>
            <w:vAlign w:val="center"/>
          </w:tcPr>
          <w:p>
            <w:pPr>
              <w:pStyle w:val="TableContents"/>
              <w:spacing w:lineRule="auto" w:line="240" w:before="220" w:after="283"/>
              <w:jc w:val="center"/>
              <w:rPr/>
            </w:pPr>
            <w:r>
              <w:rPr>
                <w:rFonts w:ascii="Times New Roman;sans-serif" w:hAnsi="Times New Roman;sans-serif"/>
                <w:b/>
                <w:color w:val="000000"/>
                <w:sz w:val="18"/>
                <w:highlight w:val="white"/>
              </w:rPr>
              <w:t xml:space="preserve">For the transition period from </w:t>
            </w:r>
            <w:r>
              <w:rPr>
                <w:color w:val="000000"/>
                <w:highlight w:val="white"/>
                <w:u w:val="single"/>
              </w:rPr>
              <w:t>                    </w:t>
            </w:r>
            <w:r>
              <w:rPr>
                <w:color w:val="000000"/>
                <w:highlight w:val="white"/>
              </w:rPr>
              <w:t xml:space="preserve"> </w:t>
            </w:r>
            <w:r>
              <w:rPr>
                <w:rFonts w:ascii="Times New Roman;sans-serif" w:hAnsi="Times New Roman;sans-serif"/>
                <w:b/>
                <w:color w:val="000000"/>
                <w:sz w:val="18"/>
                <w:highlight w:val="white"/>
              </w:rPr>
              <w:t xml:space="preserve">to </w:t>
            </w:r>
            <w:r>
              <w:rPr>
                <w:color w:val="000000"/>
                <w:highlight w:val="white"/>
                <w:u w:val="single"/>
              </w:rPr>
              <w:t>                    </w:t>
            </w:r>
          </w:p>
        </w:tc>
        <w:tc>
          <w:tcPr>
            <w:tcW w:w="107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2984" w:type="dxa"/>
        <w:jc w:val="center"/>
        <w:tblInd w:w="0" w:type="dxa"/>
        <w:tblCellMar>
          <w:top w:w="28" w:type="dxa"/>
          <w:left w:w="28" w:type="dxa"/>
          <w:bottom w:w="28" w:type="dxa"/>
          <w:right w:w="28" w:type="dxa"/>
        </w:tblCellMar>
      </w:tblPr>
      <w:tblGrid>
        <w:gridCol w:w="743"/>
        <w:gridCol w:w="654"/>
        <w:gridCol w:w="658"/>
        <w:gridCol w:w="272"/>
        <w:gridCol w:w="272"/>
        <w:gridCol w:w="385"/>
      </w:tblGrid>
      <w:tr>
        <w:trPr/>
        <w:tc>
          <w:tcPr>
            <w:tcW w:w="743"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220" w:after="283"/>
              <w:jc w:val="right"/>
              <w:rPr>
                <w:rFonts w:ascii="Times New Roman;sans-serif" w:hAnsi="Times New Roman;sans-serif"/>
                <w:b/>
                <w:color w:val="000000"/>
                <w:sz w:val="18"/>
                <w:highlight w:val="white"/>
              </w:rPr>
            </w:pPr>
            <w:r>
              <w:rPr>
                <w:rFonts w:ascii="Times New Roman;sans-serif" w:hAnsi="Times New Roman;sans-serif"/>
                <w:b/>
                <w:color w:val="000000"/>
                <w:sz w:val="18"/>
                <w:highlight w:val="white"/>
              </w:rPr>
              <w:t xml:space="preserve">Commission file number </w:t>
            </w:r>
          </w:p>
        </w:tc>
        <w:tc>
          <w:tcPr>
            <w:tcW w:w="92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220" w:after="283"/>
              <w:jc w:val="left"/>
              <w:rPr>
                <w:rFonts w:ascii="Times New Roman;sans-serif" w:hAnsi="Times New Roman;sans-serif"/>
                <w:b/>
                <w:color w:val="000000"/>
                <w:sz w:val="18"/>
                <w:highlight w:val="white"/>
              </w:rPr>
            </w:pPr>
            <w:r>
              <w:rPr>
                <w:rFonts w:ascii="Times New Roman;sans-serif" w:hAnsi="Times New Roman;sans-serif"/>
                <w:b/>
                <w:color w:val="000000"/>
                <w:sz w:val="18"/>
                <w:highlight w:val="white"/>
              </w:rPr>
              <w:t>001-13783</w:t>
            </w:r>
          </w:p>
        </w:tc>
      </w:tr>
    </w:tbl>
    <w:p>
      <w:pPr>
        <w:pStyle w:val="TextBody"/>
        <w:spacing w:before="60" w:after="283"/>
        <w:jc w:val="center"/>
        <w:rPr/>
      </w:pPr>
      <w:r>
        <w:rPr/>
        <w:drawing>
          <wp:inline distT="0" distB="0" distL="0" distR="0">
            <wp:extent cx="16192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66675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highlight w:val="white"/>
        </w:rPr>
      </w:pPr>
      <w:r>
        <w:rPr>
          <w:rFonts w:ascii="Times New Roman;sans-serif" w:hAnsi="Times New Roman;sans-serif"/>
          <w:b/>
          <w:color w:val="000000"/>
          <w:sz w:val="32"/>
          <w:highlight w:val="white"/>
        </w:rPr>
        <w:t xml:space="preserve">IES Holdings, Inc. </w:t>
      </w:r>
    </w:p>
    <w:p>
      <w:pPr>
        <w:pStyle w:val="TextBody"/>
        <w:spacing w:lineRule="auto" w:line="288"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FFFFFF" w:val="clear"/>
            <w:tcMar>
              <w:left w:w="0" w:type="dxa"/>
              <w:bottom w:w="0" w:type="dxa"/>
              <w:right w:w="0" w:type="dxa"/>
            </w:tcMar>
            <w:vAlign w:val="center"/>
          </w:tcPr>
          <w:p>
            <w:pPr>
              <w:pStyle w:val="TableContents"/>
              <w:spacing w:before="220" w:after="283"/>
              <w:jc w:val="center"/>
              <w:rPr/>
            </w:pPr>
            <w:r>
              <w:rPr/>
            </w:r>
          </w:p>
          <w:p>
            <w:pPr>
              <w:pStyle w:val="TableContents"/>
              <w:spacing w:before="220" w:after="283"/>
              <w:jc w:val="center"/>
              <w:rPr/>
            </w:pPr>
            <w:r>
              <w:rPr/>
            </w:r>
          </w:p>
          <w:p>
            <w:pPr>
              <w:pStyle w:val="TableContents"/>
              <w:spacing w:before="0" w:after="0"/>
              <w:jc w:val="center"/>
              <w:rPr/>
            </w:pPr>
            <w:r>
              <w:rPr/>
            </w:r>
          </w:p>
        </w:tc>
      </w:tr>
    </w:tbl>
    <w:p>
      <w:pPr>
        <w:pStyle w:val="TextBody"/>
        <w:spacing w:before="0" w:after="0"/>
        <w:jc w:val="center"/>
        <w:rPr/>
      </w:pPr>
      <w:r>
        <w:rPr/>
      </w:r>
    </w:p>
    <w:tbl>
      <w:tblPr>
        <w:tblW w:w="3855" w:type="dxa"/>
        <w:jc w:val="center"/>
        <w:tblInd w:w="0" w:type="dxa"/>
        <w:tblCellMar>
          <w:top w:w="28" w:type="dxa"/>
          <w:left w:w="28" w:type="dxa"/>
          <w:bottom w:w="28" w:type="dxa"/>
          <w:right w:w="28" w:type="dxa"/>
        </w:tblCellMar>
      </w:tblPr>
      <w:tblGrid>
        <w:gridCol w:w="854"/>
        <w:gridCol w:w="754"/>
        <w:gridCol w:w="762"/>
        <w:gridCol w:w="434"/>
        <w:gridCol w:w="434"/>
        <w:gridCol w:w="617"/>
      </w:tblGrid>
      <w:tr>
        <w:trPr/>
        <w:tc>
          <w:tcPr>
            <w:tcW w:w="8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Delaware</w:t>
            </w:r>
          </w:p>
        </w:tc>
        <w:tc>
          <w:tcPr>
            <w:tcW w:w="1485"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76-0542208</w:t>
            </w:r>
          </w:p>
        </w:tc>
      </w:tr>
      <w:tr>
        <w:trPr/>
        <w:tc>
          <w:tcPr>
            <w:tcW w:w="2370"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(State or other jurisdiction of</w:t>
            </w:r>
          </w:p>
        </w:tc>
        <w:tc>
          <w:tcPr>
            <w:tcW w:w="1485"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(I.R.S. Employer</w:t>
            </w:r>
          </w:p>
        </w:tc>
      </w:tr>
      <w:tr>
        <w:trPr/>
        <w:tc>
          <w:tcPr>
            <w:tcW w:w="2370"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incorporation or organization)</w:t>
            </w:r>
          </w:p>
        </w:tc>
        <w:tc>
          <w:tcPr>
            <w:tcW w:w="1485"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Identification No.)</w:t>
            </w:r>
          </w:p>
        </w:tc>
      </w:tr>
    </w:tbl>
    <w:p>
      <w:pPr>
        <w:pStyle w:val="TextBody"/>
        <w:spacing w:lineRule="auto" w:line="288"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 xml:space="preserve">5433 Westheimer Road, Suite 500, Houston, Texas 77056 </w:t>
      </w:r>
    </w:p>
    <w:p>
      <w:pPr>
        <w:pStyle w:val="TextBody"/>
        <w:spacing w:lineRule="auto" w:line="288"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(Address of principal executive offices and zip code)</w:t>
      </w:r>
    </w:p>
    <w:p>
      <w:pPr>
        <w:pStyle w:val="TextBody"/>
        <w:spacing w:lineRule="auto" w:line="288" w:before="60" w:after="283"/>
        <w:jc w:val="center"/>
        <w:rPr/>
      </w:pPr>
      <w:r>
        <w:rPr>
          <w:rFonts w:ascii="Times New Roman;sans-serif" w:hAnsi="Times New Roman;sans-serif"/>
          <w:b/>
          <w:color w:val="000000"/>
          <w:sz w:val="18"/>
          <w:highlight w:val="white"/>
        </w:rPr>
        <w:t>Registrant’s telephone number, including area code:</w:t>
      </w:r>
      <w:r>
        <w:rPr>
          <w:color w:val="000000"/>
          <w:highlight w:val="white"/>
        </w:rPr>
        <w:t xml:space="preserve"> </w:t>
      </w:r>
      <w:r>
        <w:rPr>
          <w:rFonts w:ascii="Times New Roman;sans-serif" w:hAnsi="Times New Roman;sans-serif"/>
          <w:b/>
          <w:color w:val="000000"/>
          <w:sz w:val="18"/>
          <w:highlight w:val="white"/>
        </w:rPr>
        <w:t xml:space="preserve">(713) 860-1500 </w:t>
      </w:r>
    </w:p>
    <w:p>
      <w:pPr>
        <w:pStyle w:val="TextBody"/>
        <w:spacing w:lineRule="auto" w:line="288" w:before="6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Securities registered pursuant to Section 12(b) of the Act:</w:t>
      </w:r>
    </w:p>
    <w:tbl>
      <w:tblPr>
        <w:tblW w:w="9141" w:type="dxa"/>
        <w:jc w:val="center"/>
        <w:tblInd w:w="0" w:type="dxa"/>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Title of each class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Trading Symbol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spacing w:before="0" w:after="283"/>
              <w:jc w:val="center"/>
              <w:rPr>
                <w:color w:val="000000"/>
                <w:highlight w:val="white"/>
              </w:rPr>
            </w:pPr>
            <w:r>
              <w:rPr>
                <w:color w:val="000000"/>
                <w:highlight w:val="white"/>
              </w:rPr>
              <w:t>     </w:t>
            </w:r>
            <w:r>
              <w:rPr>
                <w:rFonts w:ascii="Times New Roman;sans-serif" w:hAnsi="Times New Roman;sans-serif"/>
                <w:b/>
                <w:color w:val="000000"/>
                <w:sz w:val="18"/>
                <w:highlight w:val="white"/>
              </w:rPr>
              <w:t>Name of each exchange on which registered</w:t>
            </w:r>
          </w:p>
        </w:tc>
      </w:tr>
      <w:tr>
        <w:trPr/>
        <w:tc>
          <w:tcPr>
            <w:tcW w:w="33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Common Stock, par value $0.01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IESC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NASDAQ Global Market</w:t>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Rights to Purchase Preferred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IESC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NASDAQ Global Market</w:t>
            </w:r>
          </w:p>
        </w:tc>
      </w:tr>
    </w:tbl>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FFFFFF" w:val="clear"/>
            <w:tcMar>
              <w:left w:w="0" w:type="dxa"/>
              <w:bottom w:w="0" w:type="dxa"/>
              <w:right w:w="0" w:type="dxa"/>
            </w:tcMar>
            <w:vAlign w:val="center"/>
          </w:tcPr>
          <w:p>
            <w:pPr>
              <w:pStyle w:val="TableContents"/>
              <w:spacing w:before="220" w:after="283"/>
              <w:jc w:val="center"/>
              <w:rPr/>
            </w:pPr>
            <w:r>
              <w:rPr/>
            </w:r>
          </w:p>
          <w:p>
            <w:pPr>
              <w:pStyle w:val="TableContents"/>
              <w:spacing w:before="220" w:after="283"/>
              <w:jc w:val="center"/>
              <w:rPr/>
            </w:pPr>
            <w:r>
              <w:rPr/>
            </w:r>
          </w:p>
          <w:p>
            <w:pPr>
              <w:pStyle w:val="TableContents"/>
              <w:spacing w:before="0" w:after="0"/>
              <w:jc w:val="center"/>
              <w:rPr/>
            </w:pPr>
            <w:r>
              <w:rPr/>
            </w:r>
          </w:p>
        </w:tc>
      </w:tr>
    </w:tbl>
    <w:p>
      <w:pPr>
        <w:pStyle w:val="TextBody"/>
        <w:spacing w:lineRule="auto" w:line="288" w:before="0" w:after="120"/>
        <w:jc w:val="both"/>
        <w:rPr/>
      </w:pPr>
      <w:r>
        <w:rPr>
          <w:rFonts w:ascii="Times New Roman;sans-serif" w:hAnsi="Times New Roman;sans-serif"/>
          <w:b w:val="false"/>
          <w:color w:val="000000"/>
          <w:sz w:val="18"/>
          <w:highlight w:val="whit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highlight w:val="white"/>
        </w:rPr>
        <w:t xml:space="preserve"> ☑ </w:t>
      </w:r>
      <w:r>
        <w:rPr>
          <w:rFonts w:ascii="Times New Roman;sans-serif" w:hAnsi="Times New Roman;sans-serif"/>
          <w:b w:val="false"/>
          <w:color w:val="000000"/>
          <w:sz w:val="18"/>
          <w:highlight w:val="white"/>
        </w:rPr>
        <w:t>No</w:t>
      </w:r>
      <w:r>
        <w:rPr>
          <w:color w:val="000000"/>
          <w:highlight w:val="white"/>
        </w:rPr>
        <w:t xml:space="preserve"> ☐</w:t>
      </w:r>
    </w:p>
    <w:p>
      <w:pPr>
        <w:pStyle w:val="TextBody"/>
        <w:spacing w:lineRule="auto" w:line="288" w:before="0" w:after="120"/>
        <w:jc w:val="both"/>
        <w:rPr/>
      </w:pPr>
      <w:r>
        <w:rPr>
          <w:rFonts w:ascii="Times New Roman;sans-serif" w:hAnsi="Times New Roman;sans-serif"/>
          <w:b w:val="false"/>
          <w:color w:val="000000"/>
          <w:sz w:val="18"/>
          <w:highlight w:val="white"/>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highlight w:val="white"/>
        </w:rPr>
        <w:t xml:space="preserve"> ☑ </w:t>
      </w:r>
      <w:r>
        <w:rPr>
          <w:rFonts w:ascii="Times New Roman;sans-serif" w:hAnsi="Times New Roman;sans-serif"/>
          <w:b w:val="false"/>
          <w:color w:val="000000"/>
          <w:sz w:val="18"/>
          <w:highlight w:val="white"/>
        </w:rPr>
        <w:t>No</w:t>
      </w:r>
      <w:r>
        <w:rPr>
          <w:color w:val="000000"/>
          <w:highlight w:val="white"/>
        </w:rPr>
        <w:t xml:space="preserve"> ☐</w:t>
      </w:r>
    </w:p>
    <w:p>
      <w:pPr>
        <w:pStyle w:val="TextBody"/>
        <w:spacing w:lineRule="auto" w:line="288" w:before="0" w:after="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left"/>
              <w:rPr>
                <w:color w:val="000000"/>
                <w:highlight w:val="white"/>
              </w:rPr>
            </w:pPr>
            <w:r>
              <w:rPr>
                <w:color w:val="00000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Accelerated filer</w:t>
            </w:r>
          </w:p>
        </w:tc>
        <w:tc>
          <w:tcPr>
            <w:tcW w:w="372" w:type="dxa"/>
            <w:gridSpan w:val="3"/>
            <w:tcBorders/>
            <w:shd w:fill="FFFFFF" w:val="clear"/>
            <w:tcMar>
              <w:top w:w="0" w:type="dxa"/>
              <w:left w:w="0" w:type="dxa"/>
              <w:bottom w:w="0" w:type="dxa"/>
              <w:right w:w="0" w:type="dxa"/>
            </w:tcMar>
            <w:vAlign w:val="center"/>
          </w:tcPr>
          <w:p>
            <w:pPr>
              <w:pStyle w:val="TableContents"/>
              <w:spacing w:before="0" w:after="283"/>
              <w:jc w:val="left"/>
              <w:rPr>
                <w:color w:val="000000"/>
                <w:highlight w:val="white"/>
              </w:rPr>
            </w:pPr>
            <w:r>
              <w:rPr>
                <w:color w:val="000000"/>
                <w:highlight w:val="white"/>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Non-accelerated filer</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left"/>
              <w:rPr>
                <w:color w:val="000000"/>
                <w:highlight w:val="white"/>
              </w:rPr>
            </w:pPr>
            <w:r>
              <w:rPr>
                <w:color w:val="00000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spacing w:before="0" w:after="283"/>
              <w:jc w:val="left"/>
              <w:rPr>
                <w:color w:val="000000"/>
                <w:highlight w:val="white"/>
              </w:rPr>
            </w:pPr>
            <w:r>
              <w:rPr>
                <w:color w:val="000000"/>
                <w:highlight w:val="white"/>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Emerging growth company</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left"/>
              <w:rPr>
                <w:color w:val="000000"/>
                <w:highlight w:val="white"/>
              </w:rPr>
            </w:pPr>
            <w:r>
              <w:rPr>
                <w:color w:val="00000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pPr>
      <w:r>
        <w:rPr>
          <w:rFonts w:ascii="Times New Roman;sans-serif" w:hAnsi="Times New Roman;sans-serif"/>
          <w:b w:val="false"/>
          <w:color w:val="000000"/>
          <w:sz w:val="18"/>
          <w:highlight w:val="whit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highlight w:val="white"/>
        </w:rPr>
        <w:t xml:space="preserve">☐ </w:t>
      </w:r>
    </w:p>
    <w:p>
      <w:pPr>
        <w:pStyle w:val="TextBody"/>
        <w:spacing w:lineRule="auto" w:line="288" w:before="0" w:after="120"/>
        <w:jc w:val="both"/>
        <w:rPr/>
      </w:pPr>
      <w:r>
        <w:rPr>
          <w:rFonts w:ascii="Times New Roman;sans-serif" w:hAnsi="Times New Roman;sans-serif"/>
          <w:b w:val="false"/>
          <w:color w:val="000000"/>
          <w:sz w:val="18"/>
          <w:highlight w:val="white"/>
        </w:rPr>
        <w:t>Indicate by check mark whether the registrant is a shell company (as defined in Rule 12b-2 of the Exchange Act). Yes</w:t>
      </w:r>
      <w:r>
        <w:rPr>
          <w:color w:val="000000"/>
          <w:highlight w:val="white"/>
        </w:rPr>
        <w:t xml:space="preserve"> ☐ </w:t>
      </w:r>
      <w:r>
        <w:rPr>
          <w:rFonts w:ascii="Times New Roman;sans-serif" w:hAnsi="Times New Roman;sans-serif"/>
          <w:b w:val="false"/>
          <w:color w:val="000000"/>
          <w:sz w:val="18"/>
          <w:highlight w:val="white"/>
        </w:rPr>
        <w:t>No</w:t>
      </w:r>
      <w:r>
        <w:rPr>
          <w:color w:val="000000"/>
          <w:highlight w:val="white"/>
        </w:rPr>
        <w:t xml:space="preserve"> ☑</w:t>
      </w:r>
    </w:p>
    <w:p>
      <w:pPr>
        <w:pStyle w:val="TextBody"/>
        <w:spacing w:lineRule="auto" w:line="288" w:before="0" w:after="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On August 5, 2020, there were 21,048,572 shares of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46685"/>
                <wp:effectExtent l="0" t="0" r="0" b="0"/>
                <wp:wrapNone/>
                <wp:docPr id="2" name="Frame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IES HOLDINGS, INC. AND SUBSIDIARIES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INDEX</w:t>
      </w:r>
    </w:p>
    <w:tbl>
      <w:tblPr>
        <w:tblW w:w="10539" w:type="dxa"/>
        <w:jc w:val="center"/>
        <w:tblInd w:w="0" w:type="dxa"/>
        <w:tblCellMar>
          <w:top w:w="28" w:type="dxa"/>
          <w:left w:w="28" w:type="dxa"/>
          <w:bottom w:w="28" w:type="dxa"/>
          <w:right w:w="28" w:type="dxa"/>
        </w:tblCellMar>
      </w:tblPr>
      <w:tblGrid>
        <w:gridCol w:w="324"/>
        <w:gridCol w:w="285"/>
        <w:gridCol w:w="285"/>
        <w:gridCol w:w="364"/>
        <w:gridCol w:w="318"/>
        <w:gridCol w:w="318"/>
        <w:gridCol w:w="2549"/>
        <w:gridCol w:w="2495"/>
        <w:gridCol w:w="2600"/>
        <w:gridCol w:w="175"/>
        <w:gridCol w:w="175"/>
        <w:gridCol w:w="176"/>
        <w:gridCol w:w="316"/>
        <w:gridCol w:w="159"/>
      </w:tblGrid>
      <w:tr>
        <w:trPr/>
        <w:tc>
          <w:tcPr>
            <w:tcW w:w="32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549" w:type="dxa"/>
            <w:tcBorders/>
            <w:shd w:fill="auto" w:val="clear"/>
            <w:vAlign w:val="center"/>
          </w:tcPr>
          <w:p>
            <w:pPr>
              <w:pStyle w:val="TableContents"/>
              <w:spacing w:before="0" w:after="283"/>
              <w:rPr>
                <w:sz w:val="4"/>
                <w:szCs w:val="4"/>
              </w:rPr>
            </w:pPr>
            <w:r>
              <w:rPr>
                <w:sz w:val="4"/>
                <w:szCs w:val="4"/>
              </w:rPr>
            </w:r>
          </w:p>
        </w:tc>
        <w:tc>
          <w:tcPr>
            <w:tcW w:w="249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auto" w:val="clea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Page</w:t>
            </w:r>
          </w:p>
        </w:tc>
        <w:tc>
          <w:tcPr>
            <w:tcW w:w="316" w:type="dxa"/>
            <w:tcBorders/>
            <w:shd w:fill="auto" w:val="clea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9538" w:type="dxa"/>
            <w:gridSpan w:val="9"/>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19fa0ddf824c450eabe0480ccebd1cf9_10">
              <w:r>
                <w:rPr>
                  <w:rStyle w:val="InternetLink"/>
                  <w:rFonts w:ascii="Times New Roman;sans-serif" w:hAnsi="Times New Roman;sans-serif"/>
                  <w:b w:val="false"/>
                  <w:color w:val="0000FF"/>
                  <w:sz w:val="20"/>
                  <w:highlight w:val="white"/>
                  <w:u w:val="single"/>
                </w:rPr>
                <w:t>PART I. FINANCIAL INFORMATION</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5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3">
              <w:r>
                <w:rPr>
                  <w:rStyle w:val="InternetLink"/>
                  <w:rFonts w:ascii="Times New Roman;sans-serif" w:hAnsi="Times New Roman;sans-serif"/>
                  <w:b w:val="false"/>
                  <w:color w:val="0000FF"/>
                  <w:sz w:val="20"/>
                  <w:highlight w:val="white"/>
                  <w:u w:val="single"/>
                </w:rPr>
                <w:t>Item 1. Financial Statements</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6">
              <w:r>
                <w:rPr>
                  <w:rStyle w:val="InternetLink"/>
                </w:rPr>
                <w:t>Condensed Consolidated Balance Sheets as of</w:t>
              </w:r>
            </w:hyperlink>
            <w:hyperlink w:anchor="i19fa0ddf824c450eabe0480ccebd1cf9_16">
              <w:r>
                <w:rPr>
                  <w:rStyle w:val="InternetLink"/>
                </w:rPr>
                <w:t xml:space="preserve"> June 30</w:t>
              </w:r>
            </w:hyperlink>
            <w:hyperlink w:anchor="i19fa0ddf824c450eabe0480ccebd1cf9_16">
              <w:r>
                <w:rPr>
                  <w:rStyle w:val="InternetLink"/>
                </w:rPr>
                <w:t>, 2020 and September 30, 2019</w:t>
              </w:r>
            </w:hyperlink>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6">
              <w:r>
                <w:rPr>
                  <w:rStyle w:val="InternetLink"/>
                  <w:rFonts w:ascii="Times New Roman;sans-serif" w:hAnsi="Times New Roman;sans-serif"/>
                  <w:b w:val="false"/>
                  <w:strike w:val="false"/>
                  <w:dstrike w:val="false"/>
                  <w:color w:val="0000FF"/>
                  <w:sz w:val="20"/>
                  <w:highlight w:val="white"/>
                  <w:u w:val="none"/>
                  <w:effect w:val="none"/>
                </w:rPr>
                <w:t>6</w:t>
              </w:r>
            </w:hyperlink>
          </w:p>
        </w:tc>
        <w:tc>
          <w:tcPr>
            <w:tcW w:w="475" w:type="dxa"/>
            <w:gridSpan w:val="2"/>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22">
              <w:r>
                <w:rPr>
                  <w:rStyle w:val="InternetLink"/>
                </w:rPr>
                <w:t>Condensed Consolidated Statements of Comprehensive Income for the Three and</w:t>
              </w:r>
            </w:hyperlink>
            <w:hyperlink w:anchor="i19fa0ddf824c450eabe0480ccebd1cf9_22">
              <w:r>
                <w:rPr>
                  <w:rStyle w:val="InternetLink"/>
                </w:rPr>
                <w:t xml:space="preserve"> Nine</w:t>
              </w:r>
            </w:hyperlink>
            <w:hyperlink w:anchor="i19fa0ddf824c450eabe0480ccebd1cf9_22">
              <w:r>
                <w:rPr>
                  <w:rStyle w:val="InternetLink"/>
                </w:rPr>
                <w:t xml:space="preserve"> Months Ended </w:t>
              </w:r>
            </w:hyperlink>
            <w:hyperlink w:anchor="i19fa0ddf824c450eabe0480ccebd1cf9_22">
              <w:r>
                <w:rPr>
                  <w:rStyle w:val="InternetLink"/>
                </w:rPr>
                <w:t>June</w:t>
              </w:r>
            </w:hyperlink>
            <w:hyperlink w:anchor="i19fa0ddf824c450eabe0480ccebd1cf9_22">
              <w:r>
                <w:rPr>
                  <w:rStyle w:val="InternetLink"/>
                </w:rPr>
                <w:t xml:space="preserve"> 30</w:t>
              </w:r>
            </w:hyperlink>
            <w:hyperlink w:anchor="i19fa0ddf824c450eabe0480ccebd1cf9_22">
              <w:r>
                <w:rPr>
                  <w:rStyle w:val="InternetLink"/>
                </w:rPr>
                <w:t>, 2020 and 2019</w:t>
              </w:r>
            </w:hyperlink>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22">
              <w:r>
                <w:rPr>
                  <w:rStyle w:val="InternetLink"/>
                  <w:rFonts w:ascii="Times New Roman;sans-serif" w:hAnsi="Times New Roman;sans-serif"/>
                  <w:b w:val="false"/>
                  <w:strike w:val="false"/>
                  <w:dstrike w:val="false"/>
                  <w:color w:val="0000FF"/>
                  <w:sz w:val="20"/>
                  <w:highlight w:val="white"/>
                  <w:u w:val="none"/>
                  <w:effect w:val="none"/>
                </w:rPr>
                <w:t>7</w:t>
              </w:r>
            </w:hyperlink>
          </w:p>
        </w:tc>
        <w:tc>
          <w:tcPr>
            <w:tcW w:w="475" w:type="dxa"/>
            <w:gridSpan w:val="2"/>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28">
              <w:r>
                <w:rPr>
                  <w:rStyle w:val="InternetLink"/>
                </w:rPr>
                <w:t xml:space="preserve">Condensed Consolidated Statements of Stockholders’ Equity for the Three and </w:t>
              </w:r>
            </w:hyperlink>
            <w:hyperlink w:anchor="i19fa0ddf824c450eabe0480ccebd1cf9_28">
              <w:r>
                <w:rPr>
                  <w:rStyle w:val="InternetLink"/>
                </w:rPr>
                <w:t>Nine</w:t>
              </w:r>
            </w:hyperlink>
            <w:hyperlink w:anchor="i19fa0ddf824c450eabe0480ccebd1cf9_28">
              <w:r>
                <w:rPr>
                  <w:rStyle w:val="InternetLink"/>
                </w:rPr>
                <w:t xml:space="preserve"> Months Ended </w:t>
              </w:r>
            </w:hyperlink>
            <w:hyperlink w:anchor="i19fa0ddf824c450eabe0480ccebd1cf9_28">
              <w:r>
                <w:rPr>
                  <w:rStyle w:val="InternetLink"/>
                </w:rPr>
                <w:t>June 30</w:t>
              </w:r>
            </w:hyperlink>
            <w:hyperlink w:anchor="i19fa0ddf824c450eabe0480ccebd1cf9_28">
              <w:r>
                <w:rPr>
                  <w:rStyle w:val="InternetLink"/>
                </w:rPr>
                <w:t>, 2020 and 2019</w:t>
              </w:r>
            </w:hyperlink>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28">
              <w:r>
                <w:rPr>
                  <w:rStyle w:val="InternetLink"/>
                  <w:rFonts w:ascii="Times New Roman;sans-serif" w:hAnsi="Times New Roman;sans-serif"/>
                  <w:b w:val="false"/>
                  <w:strike w:val="false"/>
                  <w:dstrike w:val="false"/>
                  <w:color w:val="0000FF"/>
                  <w:sz w:val="20"/>
                  <w:highlight w:val="white"/>
                  <w:u w:val="none"/>
                  <w:effect w:val="none"/>
                </w:rPr>
                <w:t>9</w:t>
              </w:r>
            </w:hyperlink>
          </w:p>
        </w:tc>
        <w:tc>
          <w:tcPr>
            <w:tcW w:w="475" w:type="dxa"/>
            <w:gridSpan w:val="2"/>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fa0ddf824c450eabe0480ccebd1cf9_34">
              <w:r>
                <w:rPr>
                  <w:rStyle w:val="InternetLink"/>
                </w:rPr>
                <w:t xml:space="preserve">Condensed Consolidated Statements of Cash Flows for the </w:t>
              </w:r>
            </w:hyperlink>
            <w:hyperlink w:anchor="i19fa0ddf824c450eabe0480ccebd1cf9_34">
              <w:r>
                <w:rPr>
                  <w:rStyle w:val="InternetLink"/>
                </w:rPr>
                <w:t>Nine</w:t>
              </w:r>
            </w:hyperlink>
            <w:hyperlink w:anchor="i19fa0ddf824c450eabe0480ccebd1cf9_34">
              <w:r>
                <w:rPr>
                  <w:rStyle w:val="InternetLink"/>
                </w:rPr>
                <w:t xml:space="preserve"> Months Ended </w:t>
              </w:r>
            </w:hyperlink>
            <w:hyperlink w:anchor="i19fa0ddf824c450eabe0480ccebd1cf9_34">
              <w:r>
                <w:rPr>
                  <w:rStyle w:val="InternetLink"/>
                </w:rPr>
                <w:t>June 30,</w:t>
              </w:r>
            </w:hyperlink>
            <w:hyperlink w:anchor="i19fa0ddf824c450eabe0480ccebd1cf9_34">
              <w:r>
                <w:rPr>
                  <w:rStyle w:val="InternetLink"/>
                </w:rPr>
                <w:t xml:space="preserve"> 2020 and 2019</w:t>
              </w:r>
            </w:hyperlink>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34">
              <w:r>
                <w:rPr>
                  <w:rStyle w:val="InternetLink"/>
                  <w:rFonts w:ascii="Times New Roman;sans-serif" w:hAnsi="Times New Roman;sans-serif"/>
                  <w:b w:val="false"/>
                  <w:strike w:val="false"/>
                  <w:dstrike w:val="false"/>
                  <w:color w:val="0000FF"/>
                  <w:sz w:val="20"/>
                  <w:highlight w:val="white"/>
                  <w:u w:val="none"/>
                  <w:effect w:val="none"/>
                </w:rPr>
                <w:t>10</w:t>
              </w:r>
            </w:hyperlink>
          </w:p>
        </w:tc>
        <w:tc>
          <w:tcPr>
            <w:tcW w:w="475" w:type="dxa"/>
            <w:gridSpan w:val="2"/>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37">
              <w:r>
                <w:rPr>
                  <w:rStyle w:val="InternetLink"/>
                  <w:rFonts w:ascii="Times New Roman;sans-serif" w:hAnsi="Times New Roman;sans-serif"/>
                  <w:b w:val="false"/>
                  <w:color w:val="0000FF"/>
                  <w:sz w:val="20"/>
                  <w:highlight w:val="white"/>
                  <w:u w:val="single"/>
                </w:rPr>
                <w:t>Notes to Condensed Consolidated Financial Statements</w:t>
              </w:r>
            </w:hyperlink>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37">
              <w:r>
                <w:rPr>
                  <w:rStyle w:val="InternetLink"/>
                  <w:rFonts w:ascii="Times New Roman;sans-serif" w:hAnsi="Times New Roman;sans-serif"/>
                  <w:b w:val="false"/>
                  <w:strike w:val="false"/>
                  <w:dstrike w:val="false"/>
                  <w:color w:val="0000FF"/>
                  <w:sz w:val="20"/>
                  <w:highlight w:val="white"/>
                  <w:u w:val="none"/>
                  <w:effect w:val="none"/>
                </w:rPr>
                <w:t>11</w:t>
              </w:r>
            </w:hyperlink>
          </w:p>
        </w:tc>
        <w:tc>
          <w:tcPr>
            <w:tcW w:w="475" w:type="dxa"/>
            <w:gridSpan w:val="2"/>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88">
              <w:r>
                <w:rPr>
                  <w:rStyle w:val="InternetLink"/>
                  <w:rFonts w:ascii="Times New Roman;sans-serif" w:hAnsi="Times New Roman;sans-serif"/>
                  <w:b w:val="false"/>
                  <w:color w:val="0000FF"/>
                  <w:sz w:val="20"/>
                  <w:highlight w:val="white"/>
                  <w:u w:val="single"/>
                </w:rPr>
                <w:t>Item 2. Management’s Discussion and Analysis of Financial Condition and Results of Operations</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88">
              <w:r>
                <w:rPr>
                  <w:rStyle w:val="InternetLink"/>
                  <w:rFonts w:ascii="Times New Roman;sans-serif" w:hAnsi="Times New Roman;sans-serif"/>
                  <w:b w:val="false"/>
                  <w:strike w:val="false"/>
                  <w:dstrike w:val="false"/>
                  <w:color w:val="0000FF"/>
                  <w:sz w:val="20"/>
                  <w:highlight w:val="white"/>
                  <w:u w:val="none"/>
                  <w:effect w:val="none"/>
                </w:rPr>
                <w:t>27</w:t>
              </w:r>
            </w:hyperlink>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42">
              <w:r>
                <w:rPr>
                  <w:rStyle w:val="InternetLink"/>
                  <w:rFonts w:ascii="Times New Roman;sans-serif" w:hAnsi="Times New Roman;sans-serif"/>
                  <w:b w:val="false"/>
                  <w:color w:val="0000FF"/>
                  <w:sz w:val="20"/>
                  <w:highlight w:val="white"/>
                  <w:u w:val="single"/>
                </w:rPr>
                <w:t>Item 3. Quantitative and Qualitative Disclosures About Market Risk</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42">
              <w:r>
                <w:rPr>
                  <w:rStyle w:val="InternetLink"/>
                  <w:rFonts w:ascii="Times New Roman;sans-serif" w:hAnsi="Times New Roman;sans-serif"/>
                  <w:b w:val="false"/>
                  <w:strike w:val="false"/>
                  <w:dstrike w:val="false"/>
                  <w:color w:val="0000FF"/>
                  <w:sz w:val="20"/>
                  <w:highlight w:val="white"/>
                  <w:u w:val="none"/>
                  <w:effect w:val="none"/>
                </w:rPr>
                <w:t>38</w:t>
              </w:r>
            </w:hyperlink>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45">
              <w:r>
                <w:rPr>
                  <w:rStyle w:val="InternetLink"/>
                  <w:rFonts w:ascii="Times New Roman;sans-serif" w:hAnsi="Times New Roman;sans-serif"/>
                  <w:b w:val="false"/>
                  <w:color w:val="0000FF"/>
                  <w:sz w:val="20"/>
                  <w:highlight w:val="white"/>
                  <w:u w:val="single"/>
                </w:rPr>
                <w:t>Item 4. Controls and Procedures</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45">
              <w:r>
                <w:rPr>
                  <w:rStyle w:val="InternetLink"/>
                  <w:rFonts w:ascii="Times New Roman;sans-serif" w:hAnsi="Times New Roman;sans-serif"/>
                  <w:b w:val="false"/>
                  <w:strike w:val="false"/>
                  <w:dstrike w:val="false"/>
                  <w:color w:val="0000FF"/>
                  <w:sz w:val="20"/>
                  <w:highlight w:val="white"/>
                  <w:u w:val="none"/>
                  <w:effect w:val="none"/>
                </w:rPr>
                <w:t>38</w:t>
              </w:r>
            </w:hyperlink>
          </w:p>
        </w:tc>
        <w:tc>
          <w:tcPr>
            <w:tcW w:w="159" w:type="dxa"/>
            <w:tcBorders/>
            <w:shd w:fill="auto" w:val="clear"/>
          </w:tcPr>
          <w:p>
            <w:pPr>
              <w:pStyle w:val="TableContents"/>
              <w:spacing w:before="0" w:after="283"/>
              <w:rPr>
                <w:sz w:val="4"/>
                <w:szCs w:val="4"/>
              </w:rPr>
            </w:pPr>
            <w:r>
              <w:rPr>
                <w:sz w:val="4"/>
                <w:szCs w:val="4"/>
              </w:rPr>
            </w:r>
          </w:p>
        </w:tc>
      </w:tr>
      <w:tr>
        <w:trPr/>
        <w:tc>
          <w:tcPr>
            <w:tcW w:w="9538" w:type="dxa"/>
            <w:gridSpan w:val="9"/>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19fa0ddf824c450eabe0480ccebd1cf9_148">
              <w:r>
                <w:rPr>
                  <w:rStyle w:val="InternetLink"/>
                  <w:rFonts w:ascii="Times New Roman;sans-serif" w:hAnsi="Times New Roman;sans-serif"/>
                  <w:b w:val="false"/>
                  <w:color w:val="0000FF"/>
                  <w:sz w:val="20"/>
                  <w:highlight w:val="white"/>
                  <w:u w:val="single"/>
                </w:rPr>
                <w:t>PART II. OTHER INFORMATION</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51">
              <w:r>
                <w:rPr>
                  <w:rStyle w:val="InternetLink"/>
                  <w:rFonts w:ascii="Times New Roman;sans-serif" w:hAnsi="Times New Roman;sans-serif"/>
                  <w:b w:val="false"/>
                  <w:color w:val="0000FF"/>
                  <w:sz w:val="20"/>
                  <w:highlight w:val="white"/>
                  <w:u w:val="single"/>
                </w:rPr>
                <w:t>Item 1. Legal Proceedings</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51">
              <w:r>
                <w:rPr>
                  <w:rStyle w:val="InternetLink"/>
                  <w:rFonts w:ascii="Times New Roman;sans-serif" w:hAnsi="Times New Roman;sans-serif"/>
                  <w:b w:val="false"/>
                  <w:strike w:val="false"/>
                  <w:dstrike w:val="false"/>
                  <w:color w:val="0000FF"/>
                  <w:sz w:val="20"/>
                  <w:highlight w:val="white"/>
                  <w:u w:val="none"/>
                  <w:effect w:val="none"/>
                </w:rPr>
                <w:t>38</w:t>
              </w:r>
            </w:hyperlink>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54">
              <w:r>
                <w:rPr>
                  <w:rStyle w:val="InternetLink"/>
                  <w:rFonts w:ascii="Times New Roman;sans-serif" w:hAnsi="Times New Roman;sans-serif"/>
                  <w:b w:val="false"/>
                  <w:color w:val="0000FF"/>
                  <w:sz w:val="20"/>
                  <w:highlight w:val="white"/>
                  <w:u w:val="single"/>
                </w:rPr>
                <w:t>Item 1A. Risk Factors</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54">
              <w:r>
                <w:rPr>
                  <w:rStyle w:val="InternetLink"/>
                  <w:rFonts w:ascii="Times New Roman;sans-serif" w:hAnsi="Times New Roman;sans-serif"/>
                  <w:b w:val="false"/>
                  <w:strike w:val="false"/>
                  <w:dstrike w:val="false"/>
                  <w:color w:val="0000FF"/>
                  <w:sz w:val="20"/>
                  <w:highlight w:val="white"/>
                  <w:u w:val="none"/>
                  <w:effect w:val="none"/>
                </w:rPr>
                <w:t>39</w:t>
              </w:r>
            </w:hyperlink>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57">
              <w:r>
                <w:rPr>
                  <w:rStyle w:val="InternetLink"/>
                  <w:rFonts w:ascii="Times New Roman;sans-serif" w:hAnsi="Times New Roman;sans-serif"/>
                  <w:b w:val="false"/>
                  <w:color w:val="0000FF"/>
                  <w:sz w:val="20"/>
                  <w:highlight w:val="white"/>
                  <w:u w:val="single"/>
                </w:rPr>
                <w:t>Item 2. Unregistered Sales of Equity Securities and Use of Proceeds</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57">
              <w:r>
                <w:rPr>
                  <w:rStyle w:val="InternetLink"/>
                  <w:rFonts w:ascii="Times New Roman;sans-serif" w:hAnsi="Times New Roman;sans-serif"/>
                  <w:b w:val="false"/>
                  <w:strike w:val="false"/>
                  <w:dstrike w:val="false"/>
                  <w:color w:val="0000FF"/>
                  <w:sz w:val="20"/>
                  <w:highlight w:val="white"/>
                  <w:u w:val="none"/>
                  <w:effect w:val="none"/>
                </w:rPr>
                <w:t>40</w:t>
              </w:r>
            </w:hyperlink>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60">
              <w:r>
                <w:rPr>
                  <w:rStyle w:val="InternetLink"/>
                  <w:rFonts w:ascii="Times New Roman;sans-serif" w:hAnsi="Times New Roman;sans-serif"/>
                  <w:b w:val="false"/>
                  <w:color w:val="0000FF"/>
                  <w:sz w:val="20"/>
                  <w:highlight w:val="white"/>
                  <w:u w:val="single"/>
                </w:rPr>
                <w:t>Item 3. Defaults Upon Senior Securities</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60">
              <w:r>
                <w:rPr>
                  <w:rStyle w:val="InternetLink"/>
                  <w:rFonts w:ascii="Times New Roman;sans-serif" w:hAnsi="Times New Roman;sans-serif"/>
                  <w:b w:val="false"/>
                  <w:strike w:val="false"/>
                  <w:dstrike w:val="false"/>
                  <w:color w:val="0000FF"/>
                  <w:sz w:val="20"/>
                  <w:highlight w:val="white"/>
                  <w:u w:val="none"/>
                  <w:effect w:val="none"/>
                </w:rPr>
                <w:t>41</w:t>
              </w:r>
            </w:hyperlink>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63">
              <w:r>
                <w:rPr>
                  <w:rStyle w:val="InternetLink"/>
                  <w:rFonts w:ascii="Times New Roman;sans-serif" w:hAnsi="Times New Roman;sans-serif"/>
                  <w:b w:val="false"/>
                  <w:color w:val="0000FF"/>
                  <w:sz w:val="20"/>
                  <w:highlight w:val="white"/>
                  <w:u w:val="single"/>
                </w:rPr>
                <w:t>Item 4. Mine Safety Disclosures</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63">
              <w:r>
                <w:rPr>
                  <w:rStyle w:val="InternetLink"/>
                  <w:rFonts w:ascii="Times New Roman;sans-serif" w:hAnsi="Times New Roman;sans-serif"/>
                  <w:b w:val="false"/>
                  <w:strike w:val="false"/>
                  <w:dstrike w:val="false"/>
                  <w:color w:val="0000FF"/>
                  <w:sz w:val="20"/>
                  <w:highlight w:val="white"/>
                  <w:u w:val="none"/>
                  <w:effect w:val="none"/>
                </w:rPr>
                <w:t>41</w:t>
              </w:r>
            </w:hyperlink>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66">
              <w:r>
                <w:rPr>
                  <w:rStyle w:val="InternetLink"/>
                  <w:rFonts w:ascii="Times New Roman;sans-serif" w:hAnsi="Times New Roman;sans-serif"/>
                  <w:b w:val="false"/>
                  <w:color w:val="0000FF"/>
                  <w:sz w:val="20"/>
                  <w:highlight w:val="white"/>
                  <w:u w:val="single"/>
                </w:rPr>
                <w:t>Item 5. Other Information</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66">
              <w:r>
                <w:rPr>
                  <w:rStyle w:val="InternetLink"/>
                  <w:rFonts w:ascii="Times New Roman;sans-serif" w:hAnsi="Times New Roman;sans-serif"/>
                  <w:b w:val="false"/>
                  <w:strike w:val="false"/>
                  <w:dstrike w:val="false"/>
                  <w:color w:val="0000FF"/>
                  <w:sz w:val="20"/>
                  <w:highlight w:val="white"/>
                  <w:u w:val="none"/>
                  <w:effect w:val="none"/>
                </w:rPr>
                <w:t>42</w:t>
              </w:r>
            </w:hyperlink>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69">
              <w:r>
                <w:rPr>
                  <w:rStyle w:val="InternetLink"/>
                  <w:rFonts w:ascii="Times New Roman;sans-serif" w:hAnsi="Times New Roman;sans-serif"/>
                  <w:b w:val="false"/>
                  <w:color w:val="0000FF"/>
                  <w:sz w:val="20"/>
                  <w:highlight w:val="white"/>
                  <w:u w:val="single"/>
                </w:rPr>
                <w:t>Item 6. Exhibits</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69">
              <w:r>
                <w:rPr>
                  <w:rStyle w:val="InternetLink"/>
                  <w:rFonts w:ascii="Times New Roman;sans-serif" w:hAnsi="Times New Roman;sans-serif"/>
                  <w:b w:val="false"/>
                  <w:strike w:val="false"/>
                  <w:dstrike w:val="false"/>
                  <w:color w:val="0000FF"/>
                  <w:sz w:val="20"/>
                  <w:highlight w:val="white"/>
                  <w:u w:val="none"/>
                  <w:effect w:val="none"/>
                </w:rPr>
                <w:t>42</w:t>
              </w:r>
            </w:hyperlink>
          </w:p>
        </w:tc>
        <w:tc>
          <w:tcPr>
            <w:tcW w:w="159" w:type="dxa"/>
            <w:tcBorders/>
            <w:shd w:fill="auto" w:val="clear"/>
          </w:tcPr>
          <w:p>
            <w:pPr>
              <w:pStyle w:val="TableContents"/>
              <w:spacing w:before="0" w:after="283"/>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4"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19fa0ddf824c450eabe0480ccebd1cf9_172">
              <w:r>
                <w:rPr>
                  <w:rStyle w:val="InternetLink"/>
                  <w:rFonts w:ascii="Times New Roman;sans-serif" w:hAnsi="Times New Roman;sans-serif"/>
                  <w:b w:val="false"/>
                  <w:color w:val="0000FF"/>
                  <w:sz w:val="20"/>
                  <w:highlight w:val="white"/>
                  <w:u w:val="single"/>
                </w:rPr>
                <w:t>Signatures</w:t>
              </w:r>
            </w:hyperlink>
          </w:p>
        </w:tc>
        <w:tc>
          <w:tcPr>
            <w:tcW w:w="526" w:type="dxa"/>
            <w:gridSpan w:val="3"/>
            <w:tcBorders/>
            <w:shd w:fill="auto" w:val="cle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19fa0ddf824c450eabe0480ccebd1cf9_172">
              <w:r>
                <w:rPr>
                  <w:rStyle w:val="InternetLink"/>
                  <w:rFonts w:ascii="Times New Roman;sans-serif" w:hAnsi="Times New Roman;sans-serif"/>
                  <w:b w:val="false"/>
                  <w:strike w:val="false"/>
                  <w:dstrike w:val="false"/>
                  <w:color w:val="0000FF"/>
                  <w:sz w:val="20"/>
                  <w:highlight w:val="white"/>
                  <w:u w:val="none"/>
                  <w:effect w:val="none"/>
                </w:rPr>
                <w:t>43</w:t>
              </w:r>
            </w:hyperlink>
          </w:p>
        </w:tc>
        <w:tc>
          <w:tcPr>
            <w:tcW w:w="159" w:type="dxa"/>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w:t>
                      </w:r>
                    </w:p>
                  </w:txbxContent>
                </v:textbox>
              </v:rect>
            </w:pict>
          </mc:Fallback>
        </mc:AlternateContent>
      </w:r>
    </w:p>
    <w:p>
      <w:pPr>
        <w:pStyle w:val="TextBody"/>
        <w:spacing w:before="0" w:after="0"/>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PART I. FINANCIAL INFORMATION</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DEFINITIONS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this Quarterly Report on Form 10-Q, the words “IES”, the “Company”, the “Registrant”, “we”, “our”, “ours” and “us” refer to IES Holdings, Inc. and, except as otherwise specified herein, to our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DISCLOSURE REGARDING FORWARD-LOOKING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pStyle w:val="TextBody"/>
        <w:spacing w:before="0" w:after="0"/>
        <w:rPr/>
      </w:pPr>
      <w:r>
        <w:rPr/>
      </w:r>
    </w:p>
    <w:p>
      <w:pPr>
        <w:pStyle w:val="TextBody"/>
        <w:spacing w:lineRule="auto" w:line="276" w:before="0" w:after="0"/>
        <w:ind w:left="0" w:right="0" w:hanging="360"/>
        <w:rPr/>
      </w:pPr>
      <w:r>
        <w:rPr>
          <w:color w:val="000000"/>
          <w:highlight w:val="white"/>
        </w:rPr>
        <w:t>•</w:t>
      </w:r>
      <w:r>
        <w:rPr>
          <w:rFonts w:ascii="Times New Roman;sans-serif" w:hAnsi="Times New Roman;sans-serif"/>
          <w:b w:val="false"/>
          <w:color w:val="000000"/>
          <w:sz w:val="20"/>
          <w:highlight w:val="white"/>
        </w:rPr>
        <w:t xml:space="preserve">the impact of the COVID-19 outbreak or future epidemics on our business, including the potential for job site closures or work stoppages, supply chain disruptions, construction delays, reduced demand for our services, our ability to collect from our customers, or illness of management or other employees; </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ability of our controlling stockholder to take action not aligned with other stockholders;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sale or disposition of all or any portion of the shares of our common stock held by our controlling stockholder, which could trigger certain change of control provisions in a number of our material agreements, including our financing and surety arrangements and our executive severance plan, as well as exercisability of the purchase rights under our tax benefit protection plan;</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possibility that certain tax benefits of our net operating losses may be restricted or reduced in a change in ownership or a change in the federal tax rate;</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potential recognition of valuation allowances or write-downs on deferred tax assets;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inability to carry out plans and strategies as expected, including our inability to identify and complete acquisitions that meet our investment criteria in furtherance of our corporate strategy, or the subsequent underperformance of those acquisitions;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limitations on the availability of sufficient credit or cash flow to fund our working capital needs and capital expenditures and debt service;</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difficulty in fulfilling the covenant terms of our revolving credit facility, including liquidity, and other financial requirements, which could result in a default and acceleration of indebtedness under our revolving credit facility;</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possibility that we issue additional shares of common stock or convertible securities that will dilute the percentage ownership interest of existing stockholders and may dilute the value per share of our common stock;</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relatively low trading volume of our common stock, a result of which could make it more difficult for shareholders to sell a substantial number of shares for the same price at which shareholders could sell a smaller number of shares;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competition in the industries in which we operate, both from third parties and former employees, which could result in the loss of one or more customers or lead to lower margins on new projects;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future capital expenditures and refurbishment, repair and upgrade costs; and delays in and costs of refurbishment, repair and upgrade projects;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a general reduction in the demand for our services;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our ability to enter into, and the terms of, future contracts;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success in transferring, renewing and obtaining electrical and other licenses;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challenges integrating new businesses into the Company or new types of work, products or processes into our segments;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 xml:space="preserve">backlog that may not be realized or may not result in profits; </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possibility of errors when estimating revenue and progress to date on percentage-of-completion contracts;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uncertainties inherent in estimating future operating results, including revenues, operating income or cash flow;</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complications associated with the incorporation of new accounting, control and operating procedures;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closures or sales of facilities resulting in significant future charges, including potential warranty losses or other unexpected liabilities, or a significant disruption of our operations;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an increased cost of surety bonds affecting margins on work and the potential for our surety providers to refuse bonding or require additional collateral at their discretion;</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fluctuations in operating activity due to downturns in levels of construction or the housing market, seasonality and differing regional economic conditions;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our ability to successfully manage projects;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inaccurate estimates used when entering into fixed-priced contracts;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cost and availability of qualified labor and the ability to maintain positive labor relations;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our ability to pass along increases in the cost of commodities used in our business, in particular, copper, aluminum, steel, fuel and certain plastics;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a change in the mix of our customers, contracts or business;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increases in bad debt expense and days sales outstanding due to liquidity problems faced by our customers;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recognition of potential goodwill, long-lived assets and other investment impairments;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potential supply chain disruptions due to credit or liquidity problems faced by our suppliers;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accidents resulting from the physical hazards associated with our work and the potential for accidents;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possibility that our current insurance coverage may not be adequate or that we may not be able to obtain policies at acceptable rates;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possibility that our internal controls over financial reporting and our disclosure controls and procedures may not prevent all possible errors that could occur;</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disagreements with taxing authorities with regard to tax positions we have adopted;</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recognition of tax benefits related to uncertain tax positions;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effect of litigation, claims and contingencies, including warranty losses, damages or other latent defect claims in excess of our existing reserves and accruals;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growth in latent defect litigation in states where we provide residential electrical work for home builders not otherwise covered by insurance;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w:t>
                      </w:r>
                    </w:p>
                  </w:txbxContent>
                </v:textbox>
              </v:rect>
            </w:pict>
          </mc:Fallback>
        </mc:AlternateConten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interruptions to our information systems and cyber security or data breaches;</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liabilities under laws and regulations protecting the environment; and</w:t>
      </w:r>
    </w:p>
    <w:p>
      <w:pPr>
        <w:pStyle w:val="TextBody"/>
        <w:spacing w:before="0" w:after="0"/>
        <w:rPr/>
      </w:pPr>
      <w:r>
        <w:rPr/>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loss of key personnel and effective transition of new management.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You should understand that the foregoing, as well as other risk factors discussed in this document and those listed in Part I, Item 1A of our Annual Report on Form 10-K for the fiscal year ended September 30, 2019, could cause future outcomes to differ materially from those experienced previously or those expressed in such forward-looking statements. We undertake no obligation to publicly update or revise any information, including without limitation information concerning our controlling stockholder,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w:t>
                      </w:r>
                    </w:p>
                  </w:txbxContent>
                </v:textbox>
              </v:rect>
            </w:pict>
          </mc:Fallback>
        </mc:AlternateContent>
      </w:r>
    </w:p>
    <w:p>
      <w:pPr>
        <w:pStyle w:val="TextBody"/>
        <w:spacing w:before="0" w:after="0"/>
        <w:rPr/>
      </w:pPr>
      <w:r>
        <w:rPr/>
      </w:r>
    </w:p>
    <w:p>
      <w:pPr>
        <w:pStyle w:val="TextBody"/>
        <w:spacing w:lineRule="auto" w:line="288" w:before="220" w:after="283"/>
        <w:rPr/>
      </w:pPr>
      <w:r>
        <w:rPr>
          <w:rFonts w:ascii="Times New Roman;sans-serif" w:hAnsi="Times New Roman;sans-serif"/>
          <w:b/>
          <w:color w:val="000000"/>
          <w:sz w:val="20"/>
          <w:highlight w:val="white"/>
        </w:rPr>
        <w:t xml:space="preserve">Item 1. </w:t>
      </w:r>
      <w:r>
        <w:rPr>
          <w:rFonts w:ascii="Times New Roman;sans-serif" w:hAnsi="Times New Roman;sans-serif"/>
          <w:b/>
          <w:i/>
          <w:color w:val="000000"/>
          <w:sz w:val="20"/>
          <w:highlight w:val="white"/>
        </w:rPr>
        <w:t>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IES HOLDINGS, INC. AND SUBSIDIARIES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Condensed Consolidated Balance Sheets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(In Thousands, Except Share Information)</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140"/>
        <w:gridCol w:w="123"/>
        <w:gridCol w:w="123"/>
        <w:gridCol w:w="123"/>
        <w:gridCol w:w="123"/>
        <w:gridCol w:w="123"/>
        <w:gridCol w:w="252"/>
        <w:gridCol w:w="252"/>
        <w:gridCol w:w="252"/>
        <w:gridCol w:w="1000"/>
        <w:gridCol w:w="875"/>
        <w:gridCol w:w="756"/>
        <w:gridCol w:w="109"/>
        <w:gridCol w:w="109"/>
        <w:gridCol w:w="109"/>
        <w:gridCol w:w="468"/>
        <w:gridCol w:w="358"/>
        <w:gridCol w:w="383"/>
        <w:gridCol w:w="211"/>
        <w:gridCol w:w="721"/>
        <w:gridCol w:w="146"/>
        <w:gridCol w:w="413"/>
        <w:gridCol w:w="413"/>
        <w:gridCol w:w="429"/>
        <w:gridCol w:w="211"/>
        <w:gridCol w:w="826"/>
        <w:gridCol w:w="146"/>
        <w:gridCol w:w="109"/>
        <w:gridCol w:w="211"/>
        <w:gridCol w:w="826"/>
        <w:gridCol w:w="199"/>
      </w:tblGrid>
      <w:tr>
        <w:trPr/>
        <w:tc>
          <w:tcPr>
            <w:tcW w:w="14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36" w:type="dxa"/>
            <w:gridSpan w:val="3"/>
            <w:tcBorders/>
            <w:shd w:fill="auto" w:val="clea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30,</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September 30,</w:t>
            </w:r>
          </w:p>
        </w:tc>
        <w:tc>
          <w:tcPr>
            <w:tcW w:w="1183" w:type="dxa"/>
            <w:gridSpan w:val="3"/>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36" w:type="dxa"/>
            <w:gridSpan w:val="3"/>
            <w:tcBorders/>
            <w:shd w:fill="auto" w:val="clea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183" w:type="dxa"/>
            <w:gridSpan w:val="3"/>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36" w:type="dxa"/>
            <w:gridSpan w:val="3"/>
            <w:tcBorders/>
            <w:shd w:fill="auto" w:val="clea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(Unaudited)</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36" w:type="dxa"/>
            <w:gridSpan w:val="3"/>
            <w:tcBorders/>
            <w:shd w:fill="auto" w:val="clear"/>
          </w:tcPr>
          <w:p>
            <w:pPr>
              <w:pStyle w:val="TableContents"/>
              <w:spacing w:before="0" w:after="283"/>
              <w:rPr>
                <w:sz w:val="4"/>
                <w:szCs w:val="4"/>
              </w:rPr>
            </w:pPr>
            <w:r>
              <w:rPr>
                <w:sz w:val="4"/>
                <w:szCs w:val="4"/>
              </w:rPr>
            </w:r>
          </w:p>
        </w:tc>
      </w:tr>
      <w:tr>
        <w:trPr/>
        <w:tc>
          <w:tcPr>
            <w:tcW w:w="4142" w:type="dxa"/>
            <w:gridSpan w:val="12"/>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CURRENT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and cash equivalents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35,830 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18,934 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45" w:type="dxa"/>
            <w:gridSpan w:val="4"/>
            <w:tcBorders/>
            <w:shd w:fill="auto" w:val="clear"/>
          </w:tcPr>
          <w:p>
            <w:pPr>
              <w:pStyle w:val="TableContents"/>
              <w:spacing w:before="0" w:after="283"/>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Accounts receivable: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4"/>
            <w:tcBorders/>
            <w:shd w:fill="auto" w:val="clea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Trade, net of allowance of $2,438 and $1,184,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189,829 </w:t>
            </w:r>
          </w:p>
        </w:tc>
        <w:tc>
          <w:tcPr>
            <w:tcW w:w="38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186,279 </w:t>
            </w:r>
          </w:p>
        </w:tc>
        <w:tc>
          <w:tcPr>
            <w:tcW w:w="429"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528" w:type="dxa"/>
            <w:gridSpan w:val="7"/>
            <w:tcBorders/>
            <w:shd w:fill="auto" w:val="clear"/>
          </w:tcPr>
          <w:p>
            <w:pPr>
              <w:pStyle w:val="TableContents"/>
              <w:spacing w:before="0" w:after="283"/>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Retainage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38,371 </w:t>
            </w:r>
          </w:p>
        </w:tc>
        <w:tc>
          <w:tcPr>
            <w:tcW w:w="38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29,214 </w:t>
            </w:r>
          </w:p>
        </w:tc>
        <w:tc>
          <w:tcPr>
            <w:tcW w:w="42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528" w:type="dxa"/>
            <w:gridSpan w:val="7"/>
            <w:tcBorders/>
            <w:shd w:fill="auto" w:val="clea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Inventories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25,343 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21,543 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45" w:type="dxa"/>
            <w:gridSpan w:val="4"/>
            <w:tcBorders/>
            <w:shd w:fill="auto" w:val="clear"/>
          </w:tcPr>
          <w:p>
            <w:pPr>
              <w:pStyle w:val="TableContents"/>
              <w:spacing w:before="0" w:after="283"/>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Costs and estimated earnings in excess of billings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25,821 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29,860 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45" w:type="dxa"/>
            <w:gridSpan w:val="4"/>
            <w:tcBorders/>
            <w:shd w:fill="auto" w:val="clea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Prepaid expenses and other current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11,123 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10,625 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45" w:type="dxa"/>
            <w:gridSpan w:val="4"/>
            <w:tcBorders/>
            <w:shd w:fill="auto" w:val="clear"/>
          </w:tcPr>
          <w:p>
            <w:pPr>
              <w:pStyle w:val="TableContents"/>
              <w:spacing w:before="0" w:after="283"/>
              <w:rPr>
                <w:sz w:val="4"/>
                <w:szCs w:val="4"/>
              </w:rPr>
            </w:pPr>
            <w:r>
              <w:rPr>
                <w:sz w:val="4"/>
                <w:szCs w:val="4"/>
              </w:rPr>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current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326,317 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296,455 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Property and equipment, net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25,260 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25,746 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Goodwill</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60,484 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50,622 </w:t>
            </w:r>
          </w:p>
        </w:tc>
        <w:tc>
          <w:tcPr>
            <w:tcW w:w="19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Intangible assets, net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42,192 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26,623 </w:t>
            </w:r>
          </w:p>
        </w:tc>
        <w:tc>
          <w:tcPr>
            <w:tcW w:w="199"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Deferred tax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33,389 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40,874 </w:t>
            </w:r>
          </w:p>
        </w:tc>
        <w:tc>
          <w:tcPr>
            <w:tcW w:w="19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right of use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32,554 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99"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non-current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5,129 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4,938 </w:t>
            </w:r>
          </w:p>
        </w:tc>
        <w:tc>
          <w:tcPr>
            <w:tcW w:w="19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525,325 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445,258 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LIABILITIES AND STOCKHOLDERS’ EQUITY</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2" w:type="dxa"/>
            <w:gridSpan w:val="12"/>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CURRENT LIABILITIES: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Accounts payable and accrued expenses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166,604 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152,909 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45" w:type="dxa"/>
            <w:gridSpan w:val="4"/>
            <w:tcBorders/>
            <w:shd w:fill="auto" w:val="clea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Billings in excess of costs and estimated earnings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56,174 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40,563 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45" w:type="dxa"/>
            <w:gridSpan w:val="4"/>
            <w:tcBorders/>
            <w:shd w:fill="auto" w:val="clear"/>
          </w:tcPr>
          <w:p>
            <w:pPr>
              <w:pStyle w:val="TableContents"/>
              <w:spacing w:before="0" w:after="283"/>
              <w:rPr>
                <w:sz w:val="4"/>
                <w:szCs w:val="4"/>
              </w:rPr>
            </w:pPr>
            <w:r>
              <w:rPr>
                <w:sz w:val="4"/>
                <w:szCs w:val="4"/>
              </w:rPr>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current liabilities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222,778 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193,472 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Long-term debt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long-term lease liabilities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21,642 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9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non-current liabilities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7,171 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1,945 </w:t>
            </w:r>
          </w:p>
        </w:tc>
        <w:tc>
          <w:tcPr>
            <w:tcW w:w="199"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liabilities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251,847 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195,716 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Noncontrolling interest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2,797 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3,294 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STOCKHOLDERS’ EQUITY:</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Preferred stock, $0.01 par value, 10,000,000 shares authorized, none issued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4"/>
            <w:tcBorders/>
            <w:shd w:fill="auto" w:val="clear"/>
          </w:tcPr>
          <w:p>
            <w:pPr>
              <w:pStyle w:val="TableContents"/>
              <w:spacing w:before="0" w:after="283"/>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and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8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2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528" w:type="dxa"/>
            <w:gridSpan w:val="7"/>
            <w:tcBorders/>
            <w:shd w:fill="auto" w:val="clea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Common stock, $0.01 par value, 100,000,000 shares authorized; 22,049,529</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4"/>
            <w:tcBorders/>
            <w:shd w:fill="auto" w:val="clear"/>
          </w:tcPr>
          <w:p>
            <w:pPr>
              <w:pStyle w:val="TableContents"/>
              <w:spacing w:before="0" w:after="283"/>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issued and 21,047,008 and 21,165,011 outstanding,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220 </w:t>
            </w:r>
          </w:p>
        </w:tc>
        <w:tc>
          <w:tcPr>
            <w:tcW w:w="38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220 </w:t>
            </w:r>
          </w:p>
        </w:tc>
        <w:tc>
          <w:tcPr>
            <w:tcW w:w="42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528" w:type="dxa"/>
            <w:gridSpan w:val="7"/>
            <w:tcBorders/>
            <w:shd w:fill="auto" w:val="clea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Treasury stock, at cost, 1,002,521 and 884,518 shares, respectively</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(16,153)</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(12,483)</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45" w:type="dxa"/>
            <w:gridSpan w:val="4"/>
            <w:tcBorders/>
            <w:shd w:fill="auto" w:val="clear"/>
          </w:tcPr>
          <w:p>
            <w:pPr>
              <w:pStyle w:val="TableContents"/>
              <w:spacing w:before="0" w:after="283"/>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Additional paid-in capital</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194,021 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192,911 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45" w:type="dxa"/>
            <w:gridSpan w:val="4"/>
            <w:tcBorders/>
            <w:shd w:fill="auto" w:val="clear"/>
          </w:tcPr>
          <w:p>
            <w:pPr>
              <w:pStyle w:val="TableContents"/>
              <w:spacing w:before="0" w:after="283"/>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7"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Retained earnings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92,593 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65,600 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45" w:type="dxa"/>
            <w:gridSpan w:val="4"/>
            <w:tcBorders/>
            <w:shd w:fill="auto" w:val="clear"/>
          </w:tcPr>
          <w:p>
            <w:pPr>
              <w:pStyle w:val="TableContents"/>
              <w:spacing w:before="0" w:after="283"/>
              <w:rPr>
                <w:sz w:val="4"/>
                <w:szCs w:val="4"/>
              </w:rPr>
            </w:pPr>
            <w:r>
              <w:rPr>
                <w:sz w:val="4"/>
                <w:szCs w:val="4"/>
              </w:rPr>
            </w:r>
          </w:p>
        </w:tc>
      </w:tr>
      <w:tr>
        <w:trPr/>
        <w:tc>
          <w:tcPr>
            <w:tcW w:w="4142"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stockholders’ equity</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270,681 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246,248 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4142" w:type="dxa"/>
            <w:gridSpan w:val="12"/>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liabilities and stockholders’ equity</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525,325 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445,258 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notes are an integral part of these Condensed Consolidated Financial Statements.</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IES HOLDINGS, INC. AND SUBSIDIARIES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Condensed Consolidated Statements of Comprehensive Income</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(In Thousands, Except Share Information)</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(Unaudited)</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124"/>
        <w:gridCol w:w="109"/>
        <w:gridCol w:w="109"/>
        <w:gridCol w:w="109"/>
        <w:gridCol w:w="109"/>
        <w:gridCol w:w="109"/>
        <w:gridCol w:w="433"/>
        <w:gridCol w:w="390"/>
        <w:gridCol w:w="390"/>
        <w:gridCol w:w="473"/>
        <w:gridCol w:w="446"/>
        <w:gridCol w:w="436"/>
        <w:gridCol w:w="427"/>
        <w:gridCol w:w="427"/>
        <w:gridCol w:w="427"/>
        <w:gridCol w:w="109"/>
        <w:gridCol w:w="109"/>
        <w:gridCol w:w="109"/>
        <w:gridCol w:w="146"/>
        <w:gridCol w:w="146"/>
        <w:gridCol w:w="146"/>
        <w:gridCol w:w="146"/>
        <w:gridCol w:w="146"/>
        <w:gridCol w:w="146"/>
        <w:gridCol w:w="430"/>
        <w:gridCol w:w="431"/>
        <w:gridCol w:w="204"/>
        <w:gridCol w:w="413"/>
        <w:gridCol w:w="413"/>
        <w:gridCol w:w="196"/>
        <w:gridCol w:w="154"/>
        <w:gridCol w:w="146"/>
        <w:gridCol w:w="146"/>
        <w:gridCol w:w="826"/>
        <w:gridCol w:w="210"/>
        <w:gridCol w:w="826"/>
        <w:gridCol w:w="146"/>
        <w:gridCol w:w="109"/>
        <w:gridCol w:w="1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tcPr>
          <w:p>
            <w:pPr>
              <w:pStyle w:val="TableContents"/>
              <w:spacing w:before="0" w:after="283"/>
              <w:rPr>
                <w:sz w:val="4"/>
                <w:szCs w:val="4"/>
              </w:rPr>
            </w:pPr>
            <w:r>
              <w:rPr>
                <w:sz w:val="4"/>
                <w:szCs w:val="4"/>
              </w:rPr>
            </w:r>
          </w:p>
        </w:tc>
        <w:tc>
          <w:tcPr>
            <w:tcW w:w="972" w:type="dxa"/>
            <w:gridSpan w:val="2"/>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68"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9" w:type="dxa"/>
            <w:gridSpan w:val="15"/>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w:t>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1065"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5"/>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972" w:type="dxa"/>
            <w:gridSpan w:val="2"/>
            <w:tcBorders/>
            <w:shd w:fill="auto" w:val="clear"/>
            <w:vAlign w:val="center"/>
          </w:tcPr>
          <w:p>
            <w:pPr>
              <w:pStyle w:val="TableContents"/>
              <w:spacing w:before="0" w:after="283"/>
              <w:rPr>
                <w:sz w:val="4"/>
                <w:szCs w:val="4"/>
              </w:rPr>
            </w:pPr>
            <w:r>
              <w:rPr>
                <w:sz w:val="4"/>
                <w:szCs w:val="4"/>
              </w:rPr>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293,125 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282,633 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234,805 </w:t>
            </w:r>
          </w:p>
        </w:tc>
        <w:tc>
          <w:tcPr>
            <w:tcW w:w="19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236,236 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6"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58,320 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46,397 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49"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44,261 </w:t>
            </w:r>
          </w:p>
        </w:tc>
        <w:tc>
          <w:tcPr>
            <w:tcW w:w="19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36,333 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Contingent consideration</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9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(163)</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Gain on sale of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w:t>
            </w:r>
          </w:p>
        </w:tc>
        <w:tc>
          <w:tcPr>
            <w:tcW w:w="19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6"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14,062 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10,235 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49"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and other (income) expense: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expense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269 </w:t>
            </w:r>
          </w:p>
        </w:tc>
        <w:tc>
          <w:tcPr>
            <w:tcW w:w="19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451 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(income) expense, net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(232)</w:t>
            </w:r>
          </w:p>
        </w:tc>
        <w:tc>
          <w:tcPr>
            <w:tcW w:w="19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(64)</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Income from operations before income taxes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14,025 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9,848 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Provision for (benefit from) income taxes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1,695 </w:t>
            </w:r>
          </w:p>
        </w:tc>
        <w:tc>
          <w:tcPr>
            <w:tcW w:w="19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(1,207)</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12,330 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11,055 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noncontrolling interest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(83)</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Comprehensive income attributable to IES Holdings, Inc.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12,260 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10,972 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Earnings per share attributable to IES Holdings, Inc.: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6"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Basic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6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0.58</w:t>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3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0.52</w:t>
            </w:r>
          </w:p>
        </w:tc>
        <w:tc>
          <w:tcPr>
            <w:tcW w:w="1249"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6"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Diluted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65"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0.58</w:t>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3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0.52</w:t>
            </w:r>
          </w:p>
        </w:tc>
        <w:tc>
          <w:tcPr>
            <w:tcW w:w="1249"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6" w:type="dxa"/>
            <w:gridSpan w:val="12"/>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Shares used in the computation of earnings per share:</w:t>
            </w:r>
          </w:p>
        </w:tc>
        <w:tc>
          <w:tcPr>
            <w:tcW w:w="438"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6"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Basic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20,728,149</w:t>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21,043,425</w:t>
            </w:r>
          </w:p>
        </w:tc>
        <w:tc>
          <w:tcPr>
            <w:tcW w:w="1249"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6"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Diluted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20,996,732</w:t>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21,301,235</w:t>
            </w:r>
          </w:p>
        </w:tc>
        <w:tc>
          <w:tcPr>
            <w:tcW w:w="1249" w:type="dxa"/>
            <w:gridSpan w:val="4"/>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notes are an integral part of these Condensed Consolidated Financial Statements.</w:t>
      </w:r>
    </w:p>
    <w:p>
      <w:pPr>
        <w:pStyle w:val="TextBody"/>
        <w:spacing w:before="0" w:after="0"/>
        <w:jc w:val="center"/>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w:t>
                      </w:r>
                    </w:p>
                  </w:txbxContent>
                </v:textbox>
              </v:rect>
            </w:pict>
          </mc:Fallback>
        </mc:AlternateContent>
      </w:r>
    </w:p>
    <w:p>
      <w:pPr>
        <w:pStyle w:val="TextBody"/>
        <w:spacing w:before="0" w:after="0"/>
        <w:rPr/>
      </w:pPr>
      <w:r>
        <w:rPr/>
      </w:r>
    </w:p>
    <w:p>
      <w:pPr>
        <w:pStyle w:val="TextBody"/>
        <w:spacing w:before="220" w:after="283"/>
        <w:jc w:val="center"/>
        <w:rPr/>
      </w:pPr>
      <w:r>
        <w:rPr/>
      </w:r>
    </w:p>
    <w:p>
      <w:pPr>
        <w:pStyle w:val="TextBody"/>
        <w:spacing w:lineRule="auto" w:line="288" w:before="2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IES HOLDINGS, INC. AND SUBSIDIARIES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Condensed Consolidated Statements of Comprehensive Income</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(In Thousands, Except Share Information)</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(Unaudited)</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124"/>
        <w:gridCol w:w="109"/>
        <w:gridCol w:w="109"/>
        <w:gridCol w:w="109"/>
        <w:gridCol w:w="109"/>
        <w:gridCol w:w="109"/>
        <w:gridCol w:w="442"/>
        <w:gridCol w:w="398"/>
        <w:gridCol w:w="398"/>
        <w:gridCol w:w="482"/>
        <w:gridCol w:w="454"/>
        <w:gridCol w:w="444"/>
        <w:gridCol w:w="435"/>
        <w:gridCol w:w="435"/>
        <w:gridCol w:w="435"/>
        <w:gridCol w:w="109"/>
        <w:gridCol w:w="109"/>
        <w:gridCol w:w="109"/>
        <w:gridCol w:w="142"/>
        <w:gridCol w:w="142"/>
        <w:gridCol w:w="142"/>
        <w:gridCol w:w="142"/>
        <w:gridCol w:w="142"/>
        <w:gridCol w:w="142"/>
        <w:gridCol w:w="413"/>
        <w:gridCol w:w="413"/>
        <w:gridCol w:w="210"/>
        <w:gridCol w:w="413"/>
        <w:gridCol w:w="413"/>
        <w:gridCol w:w="191"/>
        <w:gridCol w:w="151"/>
        <w:gridCol w:w="142"/>
        <w:gridCol w:w="142"/>
        <w:gridCol w:w="848"/>
        <w:gridCol w:w="188"/>
        <w:gridCol w:w="826"/>
        <w:gridCol w:w="146"/>
        <w:gridCol w:w="109"/>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auto" w:val="clear"/>
          </w:tcPr>
          <w:p>
            <w:pPr>
              <w:pStyle w:val="TableContents"/>
              <w:spacing w:before="0" w:after="283"/>
              <w:rPr>
                <w:sz w:val="4"/>
                <w:szCs w:val="4"/>
              </w:rPr>
            </w:pPr>
            <w:r>
              <w:rPr>
                <w:sz w:val="4"/>
                <w:szCs w:val="4"/>
              </w:rPr>
            </w:r>
          </w:p>
        </w:tc>
        <w:tc>
          <w:tcPr>
            <w:tcW w:w="972" w:type="dxa"/>
            <w:gridSpan w:val="2"/>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0" w:type="dxa"/>
            <w:gridSpan w:val="15"/>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1036"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5"/>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972" w:type="dxa"/>
            <w:gridSpan w:val="2"/>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860,445 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783,389 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700,646 </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652,156 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159,799 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131,233 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44"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124,169 </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103,489 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Contingent consideration</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9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(278)</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Loss (gain) on sale of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35,670 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27,935 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44"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and other (income) expense: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expense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828 </w:t>
            </w:r>
          </w:p>
        </w:tc>
        <w:tc>
          <w:tcPr>
            <w:tcW w:w="19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1,533 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(income) expense, net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177 </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(129)</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Income from operations before income taxes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34,665 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26,531 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Provision for income taxes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7,592 </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3,036 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27,073 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23,495 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noncontrolling interest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Comprehensive income attributable to IES Holdings, Inc.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26,993 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23,345 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Earnings per share attributable to IES Holdings, Inc.: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Basic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36"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1.28</w:t>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3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1.10</w:t>
            </w:r>
          </w:p>
        </w:tc>
        <w:tc>
          <w:tcPr>
            <w:tcW w:w="1244"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Diluted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36"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1.26</w:t>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3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1.09</w:t>
            </w:r>
          </w:p>
        </w:tc>
        <w:tc>
          <w:tcPr>
            <w:tcW w:w="1244"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3"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Shares used in the computation of earnings (loss) per share: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Basic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20,819,857</w:t>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21,139,697</w:t>
            </w:r>
          </w:p>
        </w:tc>
        <w:tc>
          <w:tcPr>
            <w:tcW w:w="1244"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Diluted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21,084,267</w:t>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21,382,178</w:t>
            </w:r>
          </w:p>
        </w:tc>
        <w:tc>
          <w:tcPr>
            <w:tcW w:w="1244" w:type="dxa"/>
            <w:gridSpan w:val="4"/>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notes are an integral part of these Condensed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IES HOLDINGS, INC. AND SUBSIDIARIES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Condensed Consolidated Statements of Stockholders’ Equity (unaudited)</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(In Thousands, Except Share Information)</w:t>
      </w:r>
    </w:p>
    <w:p>
      <w:pPr>
        <w:pStyle w:val="TextBody"/>
        <w:spacing w:before="0" w:after="0"/>
        <w:jc w:val="center"/>
        <w:rPr/>
      </w:pPr>
      <w:r>
        <w:rPr/>
      </w:r>
    </w:p>
    <w:tbl>
      <w:tblPr>
        <w:tblW w:w="17298" w:type="dxa"/>
        <w:jc w:val="center"/>
        <w:tblInd w:w="0" w:type="dxa"/>
        <w:tblCellMar>
          <w:top w:w="28" w:type="dxa"/>
          <w:left w:w="28" w:type="dxa"/>
          <w:bottom w:w="28" w:type="dxa"/>
          <w:right w:w="28" w:type="dxa"/>
        </w:tblCellMar>
      </w:tblPr>
      <w:tblGrid>
        <w:gridCol w:w="175"/>
        <w:gridCol w:w="154"/>
        <w:gridCol w:w="154"/>
        <w:gridCol w:w="354"/>
        <w:gridCol w:w="354"/>
        <w:gridCol w:w="358"/>
        <w:gridCol w:w="203"/>
        <w:gridCol w:w="203"/>
        <w:gridCol w:w="224"/>
        <w:gridCol w:w="480"/>
        <w:gridCol w:w="481"/>
        <w:gridCol w:w="146"/>
        <w:gridCol w:w="109"/>
        <w:gridCol w:w="109"/>
        <w:gridCol w:w="109"/>
        <w:gridCol w:w="203"/>
        <w:gridCol w:w="203"/>
        <w:gridCol w:w="146"/>
        <w:gridCol w:w="210"/>
        <w:gridCol w:w="211"/>
        <w:gridCol w:w="146"/>
        <w:gridCol w:w="330"/>
        <w:gridCol w:w="331"/>
        <w:gridCol w:w="146"/>
        <w:gridCol w:w="442"/>
        <w:gridCol w:w="444"/>
        <w:gridCol w:w="224"/>
        <w:gridCol w:w="109"/>
        <w:gridCol w:w="109"/>
        <w:gridCol w:w="109"/>
        <w:gridCol w:w="217"/>
        <w:gridCol w:w="219"/>
        <w:gridCol w:w="146"/>
        <w:gridCol w:w="330"/>
        <w:gridCol w:w="331"/>
        <w:gridCol w:w="146"/>
        <w:gridCol w:w="109"/>
        <w:gridCol w:w="109"/>
        <w:gridCol w:w="109"/>
        <w:gridCol w:w="278"/>
        <w:gridCol w:w="278"/>
        <w:gridCol w:w="146"/>
        <w:gridCol w:w="368"/>
        <w:gridCol w:w="368"/>
        <w:gridCol w:w="146"/>
        <w:gridCol w:w="109"/>
        <w:gridCol w:w="109"/>
        <w:gridCol w:w="109"/>
        <w:gridCol w:w="323"/>
        <w:gridCol w:w="323"/>
        <w:gridCol w:w="146"/>
        <w:gridCol w:w="323"/>
        <w:gridCol w:w="323"/>
        <w:gridCol w:w="146"/>
        <w:gridCol w:w="109"/>
        <w:gridCol w:w="109"/>
        <w:gridCol w:w="109"/>
        <w:gridCol w:w="323"/>
        <w:gridCol w:w="323"/>
        <w:gridCol w:w="146"/>
        <w:gridCol w:w="736"/>
        <w:gridCol w:w="146"/>
        <w:gridCol w:w="360"/>
        <w:gridCol w:w="361"/>
        <w:gridCol w:w="109"/>
        <w:gridCol w:w="109"/>
        <w:gridCol w:w="518"/>
        <w:gridCol w:w="518"/>
        <w:gridCol w:w="109"/>
        <w:gridCol w:w="109"/>
        <w:gridCol w:w="109"/>
        <w:gridCol w:w="109"/>
        <w:gridCol w:w="109"/>
        <w:gridCol w:w="109"/>
        <w:gridCol w:w="109"/>
        <w:gridCol w:w="109"/>
        <w:gridCol w:w="109"/>
        <w:gridCol w:w="154"/>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tcPr>
          <w:p>
            <w:pPr>
              <w:pStyle w:val="TableContents"/>
              <w:spacing w:before="0" w:after="283"/>
              <w:rPr>
                <w:sz w:val="4"/>
                <w:szCs w:val="4"/>
              </w:rPr>
            </w:pPr>
            <w:r>
              <w:rPr>
                <w:sz w:val="4"/>
                <w:szCs w:val="4"/>
              </w:rPr>
            </w:r>
          </w:p>
        </w:tc>
        <w:tc>
          <w:tcPr>
            <w:tcW w:w="360" w:type="dxa"/>
            <w:tcBorders/>
            <w:shd w:fill="auto" w:val="clear"/>
          </w:tcPr>
          <w:p>
            <w:pPr>
              <w:pStyle w:val="TableContents"/>
              <w:spacing w:before="0" w:after="283"/>
              <w:rPr>
                <w:sz w:val="4"/>
                <w:szCs w:val="4"/>
              </w:rPr>
            </w:pPr>
            <w:r>
              <w:rPr>
                <w:sz w:val="4"/>
                <w:szCs w:val="4"/>
              </w:rPr>
            </w:r>
          </w:p>
        </w:tc>
        <w:tc>
          <w:tcPr>
            <w:tcW w:w="361" w:type="dxa"/>
            <w:tcBorders/>
            <w:shd w:fill="auto" w:val="clea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7" w:type="dxa"/>
            <w:gridSpan w:val="54"/>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Three Months Ended June 30, 2020</w:t>
            </w:r>
          </w:p>
        </w:tc>
        <w:tc>
          <w:tcPr>
            <w:tcW w:w="882" w:type="dxa"/>
            <w:gridSpan w:val="2"/>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6"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Common Stock</w:t>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18"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Treasury Stock</w:t>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vMerge w:val="restart"/>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Retained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vMerge w:val="restart"/>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Total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Shares</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Amount</w:t>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Amount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APIC</w:t>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15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BALANCE, March 31, 2020</w:t>
            </w:r>
          </w:p>
        </w:tc>
        <w:tc>
          <w:tcPr>
            <w:tcW w:w="630" w:type="dxa"/>
            <w:gridSpan w:val="3"/>
            <w:tcBorders/>
            <w:shd w:fill="auto" w:val="cle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22,049,529 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(977,863)</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(15,643)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192,895 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80,333 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257,805 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10" w:type="dxa"/>
            <w:gridSpan w:val="16"/>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Issuances under compensation plans</w:t>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2,053 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33 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(33)</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Acquisition of treasury stock</w:t>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(26,711)</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(543)</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(543)</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2"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Non-cash compensation</w:t>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1,159 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1,159 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2"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Net income attributable to IES Holdings, Inc.</w:t>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12,260 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12,260 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15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BALANCE, June 30, 2020</w:t>
            </w:r>
          </w:p>
        </w:tc>
        <w:tc>
          <w:tcPr>
            <w:tcW w:w="630" w:type="dxa"/>
            <w:gridSpan w:val="3"/>
            <w:tcBorders/>
            <w:shd w:fill="auto" w:val="cle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22,049,529 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(1,002,521)</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(16,153)</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194,021 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92,593 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270,681 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10" w:type="dxa"/>
            <w:gridSpan w:val="16"/>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2"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2"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tbl>
      <w:tblPr>
        <w:tblW w:w="17253" w:type="dxa"/>
        <w:jc w:val="center"/>
        <w:tblInd w:w="0" w:type="dxa"/>
        <w:tblCellMar>
          <w:top w:w="28" w:type="dxa"/>
          <w:left w:w="28" w:type="dxa"/>
          <w:bottom w:w="28" w:type="dxa"/>
          <w:right w:w="28" w:type="dxa"/>
        </w:tblCellMar>
      </w:tblPr>
      <w:tblGrid>
        <w:gridCol w:w="175"/>
        <w:gridCol w:w="154"/>
        <w:gridCol w:w="154"/>
        <w:gridCol w:w="509"/>
        <w:gridCol w:w="344"/>
        <w:gridCol w:w="213"/>
        <w:gridCol w:w="203"/>
        <w:gridCol w:w="203"/>
        <w:gridCol w:w="224"/>
        <w:gridCol w:w="480"/>
        <w:gridCol w:w="481"/>
        <w:gridCol w:w="146"/>
        <w:gridCol w:w="109"/>
        <w:gridCol w:w="109"/>
        <w:gridCol w:w="109"/>
        <w:gridCol w:w="203"/>
        <w:gridCol w:w="203"/>
        <w:gridCol w:w="146"/>
        <w:gridCol w:w="210"/>
        <w:gridCol w:w="211"/>
        <w:gridCol w:w="146"/>
        <w:gridCol w:w="375"/>
        <w:gridCol w:w="376"/>
        <w:gridCol w:w="146"/>
        <w:gridCol w:w="375"/>
        <w:gridCol w:w="376"/>
        <w:gridCol w:w="224"/>
        <w:gridCol w:w="109"/>
        <w:gridCol w:w="109"/>
        <w:gridCol w:w="109"/>
        <w:gridCol w:w="285"/>
        <w:gridCol w:w="286"/>
        <w:gridCol w:w="146"/>
        <w:gridCol w:w="329"/>
        <w:gridCol w:w="332"/>
        <w:gridCol w:w="146"/>
        <w:gridCol w:w="109"/>
        <w:gridCol w:w="109"/>
        <w:gridCol w:w="109"/>
        <w:gridCol w:w="210"/>
        <w:gridCol w:w="211"/>
        <w:gridCol w:w="146"/>
        <w:gridCol w:w="368"/>
        <w:gridCol w:w="368"/>
        <w:gridCol w:w="146"/>
        <w:gridCol w:w="109"/>
        <w:gridCol w:w="109"/>
        <w:gridCol w:w="109"/>
        <w:gridCol w:w="323"/>
        <w:gridCol w:w="323"/>
        <w:gridCol w:w="146"/>
        <w:gridCol w:w="323"/>
        <w:gridCol w:w="323"/>
        <w:gridCol w:w="146"/>
        <w:gridCol w:w="109"/>
        <w:gridCol w:w="109"/>
        <w:gridCol w:w="109"/>
        <w:gridCol w:w="322"/>
        <w:gridCol w:w="324"/>
        <w:gridCol w:w="146"/>
        <w:gridCol w:w="736"/>
        <w:gridCol w:w="146"/>
        <w:gridCol w:w="360"/>
        <w:gridCol w:w="361"/>
        <w:gridCol w:w="109"/>
        <w:gridCol w:w="109"/>
        <w:gridCol w:w="518"/>
        <w:gridCol w:w="518"/>
        <w:gridCol w:w="109"/>
        <w:gridCol w:w="109"/>
        <w:gridCol w:w="109"/>
        <w:gridCol w:w="109"/>
        <w:gridCol w:w="109"/>
        <w:gridCol w:w="109"/>
        <w:gridCol w:w="109"/>
        <w:gridCol w:w="109"/>
        <w:gridCol w:w="109"/>
        <w:gridCol w:w="154"/>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tcPr>
          <w:p>
            <w:pPr>
              <w:pStyle w:val="TableContents"/>
              <w:spacing w:before="0" w:after="283"/>
              <w:rPr>
                <w:sz w:val="4"/>
                <w:szCs w:val="4"/>
              </w:rPr>
            </w:pPr>
            <w:r>
              <w:rPr>
                <w:sz w:val="4"/>
                <w:szCs w:val="4"/>
              </w:rPr>
            </w:r>
          </w:p>
        </w:tc>
        <w:tc>
          <w:tcPr>
            <w:tcW w:w="360" w:type="dxa"/>
            <w:tcBorders/>
            <w:shd w:fill="auto" w:val="clear"/>
          </w:tcPr>
          <w:p>
            <w:pPr>
              <w:pStyle w:val="TableContents"/>
              <w:spacing w:before="0" w:after="283"/>
              <w:rPr>
                <w:sz w:val="4"/>
                <w:szCs w:val="4"/>
              </w:rPr>
            </w:pPr>
            <w:r>
              <w:rPr>
                <w:sz w:val="4"/>
                <w:szCs w:val="4"/>
              </w:rPr>
            </w:r>
          </w:p>
        </w:tc>
        <w:tc>
          <w:tcPr>
            <w:tcW w:w="361" w:type="dxa"/>
            <w:tcBorders/>
            <w:shd w:fill="auto" w:val="clea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2" w:type="dxa"/>
            <w:gridSpan w:val="54"/>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Three Months Ended June 30, 2019</w:t>
            </w:r>
          </w:p>
        </w:tc>
        <w:tc>
          <w:tcPr>
            <w:tcW w:w="882" w:type="dxa"/>
            <w:gridSpan w:val="2"/>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6"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Common Stock</w:t>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18"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Treasury Stock</w:t>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vMerge w:val="restart"/>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Retained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vMerge w:val="restart"/>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Total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Shares</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Amount</w:t>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Amount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APIC</w:t>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15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BALANCE, March 31, 2019</w:t>
            </w:r>
          </w:p>
        </w:tc>
        <w:tc>
          <w:tcPr>
            <w:tcW w:w="630" w:type="dxa"/>
            <w:gridSpan w:val="3"/>
            <w:tcBorders/>
            <w:shd w:fill="auto" w:val="cle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22,049,529 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(667,682)</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(8,443)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191,579 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44,789 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228,145 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10" w:type="dxa"/>
            <w:gridSpan w:val="16"/>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Acquisition of treasury stock</w:t>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(162,993)</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(2,914)</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(2,914)</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Non-cash compensation</w:t>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810 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810 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Net income attributable to IES Holdings, Inc.</w:t>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10,972 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10,972 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15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BALANCE, June 30, 2019</w:t>
            </w:r>
          </w:p>
        </w:tc>
        <w:tc>
          <w:tcPr>
            <w:tcW w:w="630" w:type="dxa"/>
            <w:gridSpan w:val="3"/>
            <w:tcBorders/>
            <w:shd w:fill="auto" w:val="cle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22,049,529 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(830,675)</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(11,357)</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192,389 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55,761 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237,013 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10" w:type="dxa"/>
            <w:gridSpan w:val="16"/>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tbl>
      <w:tblPr>
        <w:tblW w:w="17538" w:type="dxa"/>
        <w:jc w:val="center"/>
        <w:tblInd w:w="0" w:type="dxa"/>
        <w:tblCellMar>
          <w:top w:w="28" w:type="dxa"/>
          <w:left w:w="28" w:type="dxa"/>
          <w:bottom w:w="28" w:type="dxa"/>
          <w:right w:w="28" w:type="dxa"/>
        </w:tblCellMar>
      </w:tblPr>
      <w:tblGrid>
        <w:gridCol w:w="175"/>
        <w:gridCol w:w="154"/>
        <w:gridCol w:w="154"/>
        <w:gridCol w:w="390"/>
        <w:gridCol w:w="390"/>
        <w:gridCol w:w="286"/>
        <w:gridCol w:w="203"/>
        <w:gridCol w:w="203"/>
        <w:gridCol w:w="224"/>
        <w:gridCol w:w="480"/>
        <w:gridCol w:w="481"/>
        <w:gridCol w:w="146"/>
        <w:gridCol w:w="109"/>
        <w:gridCol w:w="109"/>
        <w:gridCol w:w="109"/>
        <w:gridCol w:w="203"/>
        <w:gridCol w:w="203"/>
        <w:gridCol w:w="146"/>
        <w:gridCol w:w="210"/>
        <w:gridCol w:w="211"/>
        <w:gridCol w:w="146"/>
        <w:gridCol w:w="375"/>
        <w:gridCol w:w="376"/>
        <w:gridCol w:w="146"/>
        <w:gridCol w:w="442"/>
        <w:gridCol w:w="444"/>
        <w:gridCol w:w="224"/>
        <w:gridCol w:w="109"/>
        <w:gridCol w:w="109"/>
        <w:gridCol w:w="109"/>
        <w:gridCol w:w="285"/>
        <w:gridCol w:w="286"/>
        <w:gridCol w:w="146"/>
        <w:gridCol w:w="330"/>
        <w:gridCol w:w="331"/>
        <w:gridCol w:w="146"/>
        <w:gridCol w:w="109"/>
        <w:gridCol w:w="109"/>
        <w:gridCol w:w="109"/>
        <w:gridCol w:w="285"/>
        <w:gridCol w:w="286"/>
        <w:gridCol w:w="146"/>
        <w:gridCol w:w="368"/>
        <w:gridCol w:w="368"/>
        <w:gridCol w:w="146"/>
        <w:gridCol w:w="109"/>
        <w:gridCol w:w="109"/>
        <w:gridCol w:w="109"/>
        <w:gridCol w:w="323"/>
        <w:gridCol w:w="323"/>
        <w:gridCol w:w="146"/>
        <w:gridCol w:w="323"/>
        <w:gridCol w:w="323"/>
        <w:gridCol w:w="146"/>
        <w:gridCol w:w="109"/>
        <w:gridCol w:w="109"/>
        <w:gridCol w:w="109"/>
        <w:gridCol w:w="322"/>
        <w:gridCol w:w="324"/>
        <w:gridCol w:w="146"/>
        <w:gridCol w:w="736"/>
        <w:gridCol w:w="146"/>
        <w:gridCol w:w="360"/>
        <w:gridCol w:w="361"/>
        <w:gridCol w:w="109"/>
        <w:gridCol w:w="109"/>
        <w:gridCol w:w="518"/>
        <w:gridCol w:w="518"/>
        <w:gridCol w:w="109"/>
        <w:gridCol w:w="109"/>
        <w:gridCol w:w="109"/>
        <w:gridCol w:w="109"/>
        <w:gridCol w:w="109"/>
        <w:gridCol w:w="109"/>
        <w:gridCol w:w="109"/>
        <w:gridCol w:w="109"/>
        <w:gridCol w:w="109"/>
        <w:gridCol w:w="154"/>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tcPr>
          <w:p>
            <w:pPr>
              <w:pStyle w:val="TableContents"/>
              <w:spacing w:before="0" w:after="283"/>
              <w:rPr>
                <w:sz w:val="4"/>
                <w:szCs w:val="4"/>
              </w:rPr>
            </w:pPr>
            <w:r>
              <w:rPr>
                <w:sz w:val="4"/>
                <w:szCs w:val="4"/>
              </w:rPr>
            </w:r>
          </w:p>
        </w:tc>
        <w:tc>
          <w:tcPr>
            <w:tcW w:w="360" w:type="dxa"/>
            <w:tcBorders/>
            <w:shd w:fill="auto" w:val="clear"/>
          </w:tcPr>
          <w:p>
            <w:pPr>
              <w:pStyle w:val="TableContents"/>
              <w:spacing w:before="0" w:after="283"/>
              <w:rPr>
                <w:sz w:val="4"/>
                <w:szCs w:val="4"/>
              </w:rPr>
            </w:pPr>
            <w:r>
              <w:rPr>
                <w:sz w:val="4"/>
                <w:szCs w:val="4"/>
              </w:rPr>
            </w:r>
          </w:p>
        </w:tc>
        <w:tc>
          <w:tcPr>
            <w:tcW w:w="361" w:type="dxa"/>
            <w:tcBorders/>
            <w:shd w:fill="auto" w:val="clea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7" w:type="dxa"/>
            <w:gridSpan w:val="54"/>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Nine Months Ended June 30, 2020</w:t>
            </w:r>
          </w:p>
        </w:tc>
        <w:tc>
          <w:tcPr>
            <w:tcW w:w="882" w:type="dxa"/>
            <w:gridSpan w:val="2"/>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6"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Common Stock</w:t>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68"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Treasury Stock</w:t>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vMerge w:val="restart"/>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Retained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vMerge w:val="restart"/>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Total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Shares</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Amount</w:t>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Amount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APIC</w:t>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15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BALANCE, September 30, 2019</w:t>
            </w:r>
          </w:p>
        </w:tc>
        <w:tc>
          <w:tcPr>
            <w:tcW w:w="630" w:type="dxa"/>
            <w:gridSpan w:val="3"/>
            <w:tcBorders/>
            <w:shd w:fill="auto" w:val="cle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22,049,529 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(884,518)</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(12,483)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192,911 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65,600 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246,248 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10" w:type="dxa"/>
            <w:gridSpan w:val="16"/>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Issuances under compensation plans</w:t>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118,633 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1,683 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(1,683)</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Acquisition of treasury stock</w:t>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(242,386)</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(5,437)</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(5,437)</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Options exercised</w:t>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5,750 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(50)</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34 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Non-cash compensation</w:t>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2,843 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2,843 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Net income attributable to IES Holdings, Inc.</w:t>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26,993 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26,993 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15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BALANCE, June 30, 2020</w:t>
            </w:r>
          </w:p>
        </w:tc>
        <w:tc>
          <w:tcPr>
            <w:tcW w:w="630" w:type="dxa"/>
            <w:gridSpan w:val="3"/>
            <w:tcBorders/>
            <w:shd w:fill="auto" w:val="cle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22,049,529 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(1,002,521)</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(16,153)</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194,021 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92,593 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270,681 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10" w:type="dxa"/>
            <w:gridSpan w:val="16"/>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tbl>
      <w:tblPr>
        <w:tblW w:w="17403" w:type="dxa"/>
        <w:jc w:val="center"/>
        <w:tblInd w:w="0" w:type="dxa"/>
        <w:tblCellMar>
          <w:top w:w="28" w:type="dxa"/>
          <w:left w:w="28" w:type="dxa"/>
          <w:bottom w:w="28" w:type="dxa"/>
          <w:right w:w="28" w:type="dxa"/>
        </w:tblCellMar>
      </w:tblPr>
      <w:tblGrid>
        <w:gridCol w:w="175"/>
        <w:gridCol w:w="154"/>
        <w:gridCol w:w="154"/>
        <w:gridCol w:w="390"/>
        <w:gridCol w:w="390"/>
        <w:gridCol w:w="286"/>
        <w:gridCol w:w="203"/>
        <w:gridCol w:w="203"/>
        <w:gridCol w:w="224"/>
        <w:gridCol w:w="480"/>
        <w:gridCol w:w="481"/>
        <w:gridCol w:w="146"/>
        <w:gridCol w:w="109"/>
        <w:gridCol w:w="109"/>
        <w:gridCol w:w="109"/>
        <w:gridCol w:w="203"/>
        <w:gridCol w:w="203"/>
        <w:gridCol w:w="146"/>
        <w:gridCol w:w="210"/>
        <w:gridCol w:w="211"/>
        <w:gridCol w:w="146"/>
        <w:gridCol w:w="375"/>
        <w:gridCol w:w="376"/>
        <w:gridCol w:w="146"/>
        <w:gridCol w:w="375"/>
        <w:gridCol w:w="376"/>
        <w:gridCol w:w="224"/>
        <w:gridCol w:w="109"/>
        <w:gridCol w:w="109"/>
        <w:gridCol w:w="109"/>
        <w:gridCol w:w="285"/>
        <w:gridCol w:w="286"/>
        <w:gridCol w:w="146"/>
        <w:gridCol w:w="329"/>
        <w:gridCol w:w="332"/>
        <w:gridCol w:w="146"/>
        <w:gridCol w:w="109"/>
        <w:gridCol w:w="109"/>
        <w:gridCol w:w="109"/>
        <w:gridCol w:w="285"/>
        <w:gridCol w:w="286"/>
        <w:gridCol w:w="146"/>
        <w:gridCol w:w="368"/>
        <w:gridCol w:w="368"/>
        <w:gridCol w:w="146"/>
        <w:gridCol w:w="109"/>
        <w:gridCol w:w="109"/>
        <w:gridCol w:w="109"/>
        <w:gridCol w:w="322"/>
        <w:gridCol w:w="324"/>
        <w:gridCol w:w="146"/>
        <w:gridCol w:w="323"/>
        <w:gridCol w:w="323"/>
        <w:gridCol w:w="146"/>
        <w:gridCol w:w="109"/>
        <w:gridCol w:w="109"/>
        <w:gridCol w:w="109"/>
        <w:gridCol w:w="322"/>
        <w:gridCol w:w="324"/>
        <w:gridCol w:w="146"/>
        <w:gridCol w:w="736"/>
        <w:gridCol w:w="146"/>
        <w:gridCol w:w="360"/>
        <w:gridCol w:w="361"/>
        <w:gridCol w:w="109"/>
        <w:gridCol w:w="109"/>
        <w:gridCol w:w="518"/>
        <w:gridCol w:w="518"/>
        <w:gridCol w:w="109"/>
        <w:gridCol w:w="109"/>
        <w:gridCol w:w="109"/>
        <w:gridCol w:w="109"/>
        <w:gridCol w:w="109"/>
        <w:gridCol w:w="109"/>
        <w:gridCol w:w="109"/>
        <w:gridCol w:w="109"/>
        <w:gridCol w:w="109"/>
        <w:gridCol w:w="154"/>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tcPr>
          <w:p>
            <w:pPr>
              <w:pStyle w:val="TableContents"/>
              <w:spacing w:before="0" w:after="283"/>
              <w:rPr>
                <w:sz w:val="4"/>
                <w:szCs w:val="4"/>
              </w:rPr>
            </w:pPr>
            <w:r>
              <w:rPr>
                <w:sz w:val="4"/>
                <w:szCs w:val="4"/>
              </w:rPr>
            </w:r>
          </w:p>
        </w:tc>
        <w:tc>
          <w:tcPr>
            <w:tcW w:w="360" w:type="dxa"/>
            <w:tcBorders/>
            <w:shd w:fill="auto" w:val="clear"/>
          </w:tcPr>
          <w:p>
            <w:pPr>
              <w:pStyle w:val="TableContents"/>
              <w:spacing w:before="0" w:after="283"/>
              <w:rPr>
                <w:sz w:val="4"/>
                <w:szCs w:val="4"/>
              </w:rPr>
            </w:pPr>
            <w:r>
              <w:rPr>
                <w:sz w:val="4"/>
                <w:szCs w:val="4"/>
              </w:rPr>
            </w:r>
          </w:p>
        </w:tc>
        <w:tc>
          <w:tcPr>
            <w:tcW w:w="361" w:type="dxa"/>
            <w:tcBorders/>
            <w:shd w:fill="auto" w:val="clea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2" w:type="dxa"/>
            <w:gridSpan w:val="54"/>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Nine Months Ended June 30, 2019</w:t>
            </w:r>
          </w:p>
        </w:tc>
        <w:tc>
          <w:tcPr>
            <w:tcW w:w="882" w:type="dxa"/>
            <w:gridSpan w:val="2"/>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6"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Common Stock</w:t>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68"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Treasury Stock</w:t>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vMerge w:val="restart"/>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Retained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vMerge w:val="restart"/>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Total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Shares</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Amount</w:t>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24"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Amount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APIC</w:t>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15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BALANCE, September 30, 2018</w:t>
            </w:r>
          </w:p>
        </w:tc>
        <w:tc>
          <w:tcPr>
            <w:tcW w:w="630" w:type="dxa"/>
            <w:gridSpan w:val="3"/>
            <w:tcBorders/>
            <w:shd w:fill="auto" w:val="cle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22,049,529 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(843,993)</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(8,937)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196,810 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32,314 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220,407 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10" w:type="dxa"/>
            <w:gridSpan w:val="16"/>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Issuances under compensation plans</w:t>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499,874 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5,905 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(5,905)</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Acquisition of treasury stock</w:t>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(486,556)</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(8,325)</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(8,325)</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Cumulative effect adjustment from adoption of new accounting standard</w:t>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102 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102 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Non-cash compensation</w:t>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1,484 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1,484 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Net loss attributable to IES Holdings, Inc.</w:t>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23,345 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23,345 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992" w:type="dxa"/>
            <w:gridSpan w:val="18"/>
            <w:tcBorders/>
            <w:shd w:fill="auto" w:val="clear"/>
          </w:tcPr>
          <w:p>
            <w:pPr>
              <w:pStyle w:val="TableContents"/>
              <w:spacing w:before="0" w:after="283"/>
              <w:rPr>
                <w:sz w:val="4"/>
                <w:szCs w:val="4"/>
              </w:rPr>
            </w:pPr>
            <w:r>
              <w:rPr>
                <w:sz w:val="4"/>
                <w:szCs w:val="4"/>
              </w:rPr>
            </w:r>
          </w:p>
        </w:tc>
      </w:tr>
      <w:tr>
        <w:trPr/>
        <w:tc>
          <w:tcPr>
            <w:tcW w:w="15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BALANCE, June 30, 2019</w:t>
            </w:r>
          </w:p>
        </w:tc>
        <w:tc>
          <w:tcPr>
            <w:tcW w:w="630" w:type="dxa"/>
            <w:gridSpan w:val="3"/>
            <w:tcBorders/>
            <w:shd w:fill="auto" w:val="cle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22,049,529 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220 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(830,675)</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(11,357)</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192,389 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55,761 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237,013 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10" w:type="dxa"/>
            <w:gridSpan w:val="16"/>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3992" w:type="dxa"/>
            <w:gridSpan w:val="18"/>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notes are an integral part of these Condensed Consolidated Financial Statements.</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IES HOLDINGS, INC. AND SUBSIDIARIES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Condensed Consolidated Statements of Cash Flows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(In Thousands)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(Unaudited)</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245"/>
        <w:gridCol w:w="215"/>
        <w:gridCol w:w="215"/>
        <w:gridCol w:w="627"/>
        <w:gridCol w:w="391"/>
        <w:gridCol w:w="385"/>
        <w:gridCol w:w="1078"/>
        <w:gridCol w:w="449"/>
        <w:gridCol w:w="463"/>
        <w:gridCol w:w="109"/>
        <w:gridCol w:w="109"/>
        <w:gridCol w:w="109"/>
        <w:gridCol w:w="119"/>
        <w:gridCol w:w="119"/>
        <w:gridCol w:w="119"/>
        <w:gridCol w:w="359"/>
        <w:gridCol w:w="362"/>
        <w:gridCol w:w="160"/>
        <w:gridCol w:w="425"/>
        <w:gridCol w:w="430"/>
        <w:gridCol w:w="160"/>
        <w:gridCol w:w="374"/>
        <w:gridCol w:w="376"/>
        <w:gridCol w:w="160"/>
        <w:gridCol w:w="375"/>
        <w:gridCol w:w="375"/>
        <w:gridCol w:w="160"/>
        <w:gridCol w:w="751"/>
        <w:gridCol w:w="146"/>
        <w:gridCol w:w="751"/>
        <w:gridCol w:w="146"/>
        <w:gridCol w:w="109"/>
        <w:gridCol w:w="168"/>
      </w:tblGrid>
      <w:tr>
        <w:trPr/>
        <w:tc>
          <w:tcPr>
            <w:tcW w:w="2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897" w:type="dxa"/>
            <w:gridSpan w:val="2"/>
            <w:tcBorders/>
            <w:shd w:fill="auto" w:val="clear"/>
          </w:tcPr>
          <w:p>
            <w:pPr>
              <w:pStyle w:val="TableContents"/>
              <w:spacing w:before="0" w:after="283"/>
              <w:rPr>
                <w:sz w:val="4"/>
                <w:szCs w:val="4"/>
              </w:rPr>
            </w:pPr>
            <w:r>
              <w:rPr>
                <w:sz w:val="4"/>
                <w:szCs w:val="4"/>
              </w:rPr>
            </w:r>
          </w:p>
        </w:tc>
        <w:tc>
          <w:tcPr>
            <w:tcW w:w="897" w:type="dxa"/>
            <w:gridSpan w:val="2"/>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68" w:type="dxa"/>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3" w:type="dxa"/>
            <w:gridSpan w:val="15"/>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897" w:type="dxa"/>
            <w:gridSpan w:val="2"/>
            <w:tcBorders/>
            <w:shd w:fill="auto" w:val="clear"/>
            <w:vAlign w:val="center"/>
          </w:tcPr>
          <w:p>
            <w:pPr>
              <w:pStyle w:val="TableContents"/>
              <w:spacing w:before="0" w:after="283"/>
              <w:rPr>
                <w:sz w:val="4"/>
                <w:szCs w:val="4"/>
              </w:rPr>
            </w:pPr>
            <w:r>
              <w:rPr>
                <w:sz w:val="4"/>
                <w:szCs w:val="4"/>
              </w:rPr>
            </w:r>
          </w:p>
        </w:tc>
        <w:tc>
          <w:tcPr>
            <w:tcW w:w="89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1015"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7" w:type="dxa"/>
            <w:gridSpan w:val="5"/>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897" w:type="dxa"/>
            <w:gridSpan w:val="2"/>
            <w:tcBorders/>
            <w:shd w:fill="auto" w:val="clear"/>
            <w:vAlign w:val="center"/>
          </w:tcPr>
          <w:p>
            <w:pPr>
              <w:pStyle w:val="TableContents"/>
              <w:spacing w:before="0" w:after="283"/>
              <w:rPr>
                <w:sz w:val="4"/>
                <w:szCs w:val="4"/>
              </w:rPr>
            </w:pPr>
            <w:r>
              <w:rPr>
                <w:sz w:val="4"/>
                <w:szCs w:val="4"/>
              </w:rPr>
            </w:r>
          </w:p>
        </w:tc>
        <w:tc>
          <w:tcPr>
            <w:tcW w:w="277" w:type="dxa"/>
            <w:gridSpan w:val="2"/>
            <w:tcBorders/>
            <w:shd w:fill="auto" w:val="clear"/>
          </w:tcPr>
          <w:p>
            <w:pPr>
              <w:pStyle w:val="TableContents"/>
              <w:spacing w:before="0" w:after="283"/>
              <w:rPr>
                <w:sz w:val="4"/>
                <w:szCs w:val="4"/>
              </w:rPr>
            </w:pPr>
            <w:r>
              <w:rPr>
                <w:sz w:val="4"/>
                <w:szCs w:val="4"/>
              </w:rPr>
            </w:r>
          </w:p>
        </w:tc>
      </w:tr>
      <w:tr>
        <w:trPr/>
        <w:tc>
          <w:tcPr>
            <w:tcW w:w="4068"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FLOWS FROM OPERATING ACTIVITIES: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7" w:type="dxa"/>
            <w:gridSpan w:val="2"/>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5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27,073 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5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23,495 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4" w:type="dxa"/>
            <w:gridSpan w:val="4"/>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Adjustments to reconcile net income to net cash provided by operating activities: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4"/>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Bad debt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1,668 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209 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Deferred financing cost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314 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236 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8,797 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7,200 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Loss (gain)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87 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2,843 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1,484 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5,031 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3,036 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Changes in operating assets and liabilities: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4"/>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(2,007)</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(25,158)</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(3,275)</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(3,491)</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Costs and estimated earnings in excess of billings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4,551 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(3,362)</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(8,783)</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(3,567)</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520 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(869)</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156 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20,132 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14,402 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1,979 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4,345 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(1,114)</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4068"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cash provided by operating activities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55,595 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20,297 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4068"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FLOWS FROM INVESTING ACTIVITIES: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7" w:type="dxa"/>
            <w:gridSpan w:val="2"/>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Purchases of property and equipment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(3,700)</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(5,172)</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4" w:type="dxa"/>
            <w:gridSpan w:val="4"/>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Proceeds from sale of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60 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68 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4" w:type="dxa"/>
            <w:gridSpan w:val="4"/>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paid in conjunction with business combinations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(28,952)</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4" w:type="dxa"/>
            <w:gridSpan w:val="4"/>
            <w:tcBorders/>
            <w:shd w:fill="auto" w:val="clear"/>
          </w:tcPr>
          <w:p>
            <w:pPr>
              <w:pStyle w:val="TableContents"/>
              <w:spacing w:before="0" w:after="283"/>
              <w:rPr>
                <w:sz w:val="4"/>
                <w:szCs w:val="4"/>
              </w:rPr>
            </w:pPr>
            <w:r>
              <w:rPr>
                <w:sz w:val="4"/>
                <w:szCs w:val="4"/>
              </w:rPr>
            </w:r>
          </w:p>
        </w:tc>
      </w:tr>
      <w:tr>
        <w:trPr/>
        <w:tc>
          <w:tcPr>
            <w:tcW w:w="4068"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cash used in investing activities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(32,592)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(5,104)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4068"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FLOWS FROM FINANCING ACTIVITIES: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7" w:type="dxa"/>
            <w:gridSpan w:val="2"/>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Borrowings of debt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592,648 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22,468 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4" w:type="dxa"/>
            <w:gridSpan w:val="4"/>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Repayments of debt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(592,643)</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(42,342)</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4" w:type="dxa"/>
            <w:gridSpan w:val="4"/>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paid for finance leases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(132)</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4" w:type="dxa"/>
            <w:gridSpan w:val="4"/>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Distribution to noncontrolling interest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(577)</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(137)</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4" w:type="dxa"/>
            <w:gridSpan w:val="4"/>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Purchase of treasury stock</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(5,437)</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(8,325)</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4" w:type="dxa"/>
            <w:gridSpan w:val="4"/>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Options exercised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4" w:type="dxa"/>
            <w:gridSpan w:val="4"/>
            <w:tcBorders/>
            <w:shd w:fill="auto" w:val="clear"/>
          </w:tcPr>
          <w:p>
            <w:pPr>
              <w:pStyle w:val="TableContents"/>
              <w:spacing w:before="0" w:after="283"/>
              <w:rPr>
                <w:sz w:val="4"/>
                <w:szCs w:val="4"/>
              </w:rPr>
            </w:pPr>
            <w:r>
              <w:rPr>
                <w:sz w:val="4"/>
                <w:szCs w:val="4"/>
              </w:rPr>
            </w:r>
          </w:p>
        </w:tc>
      </w:tr>
      <w:tr>
        <w:trPr/>
        <w:tc>
          <w:tcPr>
            <w:tcW w:w="4068"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cash used in financing activities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(6,107)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(28,336)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4068"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INCREASE (DECREASE) IN CASH AND CASH EQUIVALENTS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16,896 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(13,143)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4068"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CASH EQUIVALENTS, beginning of period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18,934 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26,247 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4068"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CASH EQUIVALENTS, end of period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35,830 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13,104 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7" w:type="dxa"/>
            <w:gridSpan w:val="2"/>
            <w:tcBorders/>
            <w:shd w:fill="auto" w:val="clear"/>
          </w:tcPr>
          <w:p>
            <w:pPr>
              <w:pStyle w:val="TableContents"/>
              <w:spacing w:before="0" w:after="283"/>
              <w:rPr>
                <w:sz w:val="4"/>
                <w:szCs w:val="4"/>
              </w:rPr>
            </w:pPr>
            <w:r>
              <w:rPr>
                <w:sz w:val="4"/>
                <w:szCs w:val="4"/>
              </w:rPr>
            </w:r>
          </w:p>
        </w:tc>
      </w:tr>
      <w:tr>
        <w:trPr/>
        <w:tc>
          <w:tcPr>
            <w:tcW w:w="4068"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7" w:type="dxa"/>
            <w:gridSpan w:val="2"/>
            <w:tcBorders/>
            <w:shd w:fill="auto" w:val="clear"/>
          </w:tcPr>
          <w:p>
            <w:pPr>
              <w:pStyle w:val="TableContents"/>
              <w:spacing w:before="0" w:after="283"/>
              <w:rPr>
                <w:sz w:val="4"/>
                <w:szCs w:val="4"/>
              </w:rPr>
            </w:pPr>
            <w:r>
              <w:rPr>
                <w:sz w:val="4"/>
                <w:szCs w:val="4"/>
              </w:rPr>
            </w:r>
          </w:p>
        </w:tc>
      </w:tr>
      <w:tr>
        <w:trPr/>
        <w:tc>
          <w:tcPr>
            <w:tcW w:w="4068" w:type="dxa"/>
            <w:gridSpan w:val="9"/>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SUPPLEMENTAL DISCLOSURE OF CASH FLOW INFORMATION:</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gridSpan w:val="2"/>
            <w:tcBorders/>
            <w:shd w:fill="auto" w:val="clear"/>
          </w:tcPr>
          <w:p>
            <w:pPr>
              <w:pStyle w:val="TableContents"/>
              <w:spacing w:before="0" w:after="283"/>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paid for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668 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5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1,405 </w:t>
            </w:r>
          </w:p>
        </w:tc>
        <w:tc>
          <w:tcPr>
            <w:tcW w:w="16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paid for income taxes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718 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5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1,321 </w:t>
            </w:r>
          </w:p>
        </w:tc>
        <w:tc>
          <w:tcPr>
            <w:tcW w:w="16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071" w:type="dxa"/>
            <w:gridSpan w:val="6"/>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IES HOLDINGS, INC.</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Notes to the Condensed Consolidated Financial Statements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(All Amounts in Thousands Except Share Amounts)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(Unaudited)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1. BUSINESS AND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Description of the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IES Holdings, Inc</w:t>
      </w:r>
      <w:r>
        <w:rPr>
          <w:rFonts w:ascii="Times New Roman;sans-serif" w:hAnsi="Times New Roman;sans-serif"/>
          <w:b w:val="false"/>
          <w:color w:val="000000"/>
          <w:sz w:val="24"/>
          <w:highlight w:val="white"/>
        </w:rPr>
        <w:t>.</w:t>
      </w:r>
      <w:r>
        <w:rPr>
          <w:color w:val="000000"/>
          <w:highlight w:val="white"/>
        </w:rPr>
        <w:t xml:space="preserve"> </w:t>
      </w:r>
      <w:r>
        <w:rPr>
          <w:rFonts w:ascii="Times New Roman;sans-serif" w:hAnsi="Times New Roman;sans-serif"/>
          <w:b w:val="false"/>
          <w:color w:val="000000"/>
          <w:sz w:val="20"/>
          <w:highlight w:val="white"/>
        </w:rPr>
        <w:t>is a holding company that owns and manages operating subsidiaries in business activities across a variety of end-markets. Our operations are currently organized into four principal business segments, based upon the nature of our current services:</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val="false"/>
          <w:color w:val="000000"/>
          <w:sz w:val="20"/>
          <w:highlight w:val="white"/>
          <w:u w:val="single"/>
        </w:rPr>
        <w:t>Commercial &amp; Industrial</w:t>
      </w:r>
      <w:r>
        <w:rPr>
          <w:color w:val="000000"/>
          <w:highlight w:val="white"/>
        </w:rPr>
        <w:t xml:space="preserve"> – </w:t>
      </w:r>
      <w:r>
        <w:rPr>
          <w:rFonts w:ascii="Times New Roman;sans-serif" w:hAnsi="Times New Roman;sans-serif"/>
          <w:b w:val="false"/>
          <w:color w:val="000000"/>
          <w:sz w:val="20"/>
          <w:highlight w:val="white"/>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val="false"/>
          <w:color w:val="000000"/>
          <w:sz w:val="20"/>
          <w:highlight w:val="white"/>
          <w:u w:val="single"/>
        </w:rPr>
        <w:t>Communications</w:t>
      </w:r>
      <w:r>
        <w:rPr>
          <w:color w:val="000000"/>
          <w:highlight w:val="white"/>
        </w:rPr>
        <w:t xml:space="preserve"> – </w:t>
      </w:r>
      <w:r>
        <w:rPr>
          <w:rFonts w:ascii="Times New Roman;sans-serif" w:hAnsi="Times New Roman;sans-serif"/>
          <w:b w:val="false"/>
          <w:color w:val="000000"/>
          <w:sz w:val="20"/>
          <w:highlight w:val="white"/>
        </w:rPr>
        <w:t>Nationwide provider of technology services, including the design, build, and maintenance of the infrastructure within data centers for co-location and managed hosting customers for both large corporations and independent businesses.</w:t>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val="false"/>
          <w:color w:val="000000"/>
          <w:sz w:val="20"/>
          <w:highlight w:val="white"/>
          <w:u w:val="single"/>
        </w:rPr>
        <w:t>Infrastructure Solutions</w:t>
      </w:r>
      <w:r>
        <w:rPr>
          <w:color w:val="000000"/>
          <w:highlight w:val="white"/>
        </w:rPr>
        <w:t xml:space="preserve"> – </w:t>
      </w:r>
      <w:r>
        <w:rPr>
          <w:rFonts w:ascii="Times New Roman;sans-serif" w:hAnsi="Times New Roman;sans-serif"/>
          <w:b w:val="false"/>
          <w:color w:val="000000"/>
          <w:sz w:val="20"/>
          <w:highlight w:val="white"/>
        </w:rPr>
        <w:t xml:space="preserve">Provider of electro-mechanical solutions for industrial operations, including apparatus repair and custom-engineered products such as generator enclosures used in data centers and other industrial applications. </w:t>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val="false"/>
          <w:color w:val="000000"/>
          <w:sz w:val="20"/>
          <w:highlight w:val="white"/>
          <w:u w:val="single"/>
        </w:rPr>
        <w:t>Residential</w:t>
      </w:r>
      <w:r>
        <w:rPr>
          <w:color w:val="000000"/>
          <w:highlight w:val="white"/>
        </w:rPr>
        <w:t xml:space="preserve"> – </w:t>
      </w:r>
      <w:r>
        <w:rPr>
          <w:rFonts w:ascii="Times New Roman;sans-serif" w:hAnsi="Times New Roman;sans-serif"/>
          <w:b w:val="false"/>
          <w:color w:val="000000"/>
          <w:sz w:val="20"/>
          <w:highlight w:val="white"/>
        </w:rPr>
        <w:t xml:space="preserve">Regional provider of electrical installation services for single-family housing and multi-family apartment complexes.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words “IES”, the “Company”, “we”, “our”, and “us” refer to IES Holdings, Inc. and, except as otherwise specified herein, to our consolidated subsidiaries.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Seasonality and Quarterly Fluctuations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Results of operations from our Residential construction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Our service and maintenance business is generally not affected by seasonality. Our volume of business may be adversely affected by declines in construction projects resulting from adverse regional or national economic conditions. Quarterly results may also be materially affected by the timing of new construction projects.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Basis of Financial Statement Preparation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2019.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Noncontrolling Interest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connection with our acquisitions of STR Mechanical, LLC in fiscal 2016 and NEXT Electric, LLC (“NEXT Electric”) in fiscal 2017,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 amounts assuming the noncontrolling interests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were redeemable at the balance sheet date. If all of these interests had been redeemable at June 30, 2020, the redemption amount would have been $2,438.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Leases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enter into various contractual arrangements for the right to use facilities, vehicles and equipment. We evaluate whether each of these arrangements contains a lease and classify all identified leases as either operating or finance. If the arrangement is subsequently modified, we re-evaluate our classification.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Upon commencement of the lease, we recognize a lease liability and corresponding right-of use ("ROU") asset for all leases with an initial term greater than twelve months. Lease liabilities represent the present value of our future lease payments over the expected lease term. As most of our leases do not provide an implicit rate, we generally use our incremental borrowing rate as the discount rate in calculating the present value of the lease payments. The incremental borrowing rate is determined by identifying a synthetic credit rating for the consolidated company, where treasury functions are centrally managed, and adjusting the interest rates from associated indexes for differences in credit risk and interest rate risk. We have elected to combine the lease and nonlease components in the recognition of our lease liabilities across all classes of underlying assets. ROU assets represent our right to control the use of the leased asset during the lease and are recognized in an amount equal to the lease liability with adjustments for prepaid or accrued rent, lease incentives or unamortized initial direct costs. Costs associated with operating lease assets are recognized on a straight-line basis over the term of the lease. Our lease assets are tested for impairment in the same manner as long-lived assets used in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Certain lease contracts include obligations to pay for other services, such as operations and maintenance. Where the costs of these services can be identified as fixed or fixed-in-substance, the costs are included as part of the future lease payments. If the cost is not fixed at the inception of the lease, the cost is recorded as a variable cost in the period incurred.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Use of Estimates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Accounting Standards Not Yet Adopted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June 2016, the Financial Accounting Standards Board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although early adoption is permitted. We plan to adopt this standard on October 1, 2020, and do not expect the adoption to have a material effect on our Condensed Consolidated Financial Statements.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gains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although early adoption is permitted for either the entire standard or only the provisions that eliminate or modify the requirements. We plan to adopt this standard on October 1, 2020, and do not expect the adoption to have a material effect on our Condensed Consolidated Financial Statements.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Accounting Standards Recently Adopted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February 2016, the FASB issued Accounting Standard Update No. 2016-02, Leases (“ASU 2016-02”). Under ASU 2016-02, lessees need to recognize a ROU asset and a lease liability on the our Condensed Consolidated Balance Sheet for all leases, other than those that meet the definition of a short-term lease. For income statement purposes, leases must be classified as either operating or finance. Operating leases result in straight-line expense, while finance leases are accounted for similar to capital leases under the previous lease accounting standard. We adopted ASU 2016-02 on October 1, 2019 using a modified retrospective transition approach. Using the optional transition method allowed under Accounting Standard Update No. 2018-11, prior period amounts were not adjusted retrospectively and continue to be reported using the previous accounting standards in effect for the period presented. We elected to utilize all of the available practical expedients with the exception of the practical expedient permitting the use of hindsight when determining the lease term and assessing impairment of ROU assets. Therefore, we did not reassess whether any of our existing or expired contracts contained leases or the classification of or initial direct costs included in our existing or expired leases.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adoption of ASU 2016-02 resulted in the recognition of ROU assets of approximately $32,434 and operating lease liabilities of approximately $32,237 on our Condensed Consolidated Balance Sheet at the adoption date. The difference between the ROU assets and lease liabilities was primarily due to previously accrued rent expense relating to periods prior to October 1, 2019. The adoption did not have a significant impact on our Condensed Consolidated Statements of Comprehensive Income or Cash Flows. See Note 13, “Leases” for additional discussion of our lease accounting policies and expanded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June 2018, the FASB issued Accounting Standard Update No. 2018-07, Compensation—Stock Compensation (“ASU 2018-07”), to simplify the accounting for share-based payments to nonemployees by aligning it with the accounting for share-based payments for employees, with certain exceptions. Under the new guidance, the cost for nonemployee awards may be lower and less volatile than under current GAAP because the measurement generally will occur earlier and will be fixed at the grant date. This update was adopted as of October 1, 2019 with no impact to our financial statements.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2. CONTROLLING STOCKHOLDER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Tontine Associates, L.L.C. ("Tontine Associates"), together with its affiliates (collectively, “Tontine”), is the Company’s controlling stockholder, owning approximately 55 percent of the Company’s outstanding common stock according to a Form 4 filed with the SEC by Tontine on July 2, 2020. Accordingly, Tontine has the ability to exercise significant control over our affairs, including the election of directors and most actions requiring the approval of stockholders.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tax benefit protection plan (the “NOL Rights Plan”). The NOL Rights Plan was designed to deter an acquisition of the Company's stock in excess of a threshold amount that could trigger a change in ownership within the meaning of Internal Revenue Code Section 382. There can be no assurance that the NOL Rights Plan will be effective in deterring a change in ownership or protecting the NOLs. Furthermore, a change in ownership would trigger the change of control provisions in a number of our material agreements, including our revolving credit facility, bonding agreements with our sureties and our severance arrangements.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Jeffrey L. Gendell was appointed Interim Chief Executive Officer effective July 31, 2020, and as a member of the Board of Directors of the Company (the "Board") and Chairman of the Board in November 2016. He is the managing member and founder of Tontine, and the brother of David B. Gendell, who has served as a member of our Board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December 6, 2018, the Company entered into a Board Observer Letter Agreement with Tontine Associates in order to assist Tontine in managing its investment in the Company. Subject to the terms and conditions set forth in the Letter Agreement, the Company granted Tontine the right, at any time that Tontine holds at least 20% of the outstanding common stock of the Company, to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Letter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3. REVENUE RECOGNITION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revenue is derived from contracts with customers, and we determine the appropriate accounting treatment for each contract at contract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Performance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pStyle w:val="TextBody"/>
        <w:spacing w:lineRule="auto" w:line="288" w:before="0" w:after="0"/>
        <w:ind w:left="0" w:right="0" w:firstLine="720"/>
        <w:rPr>
          <w:color w:val="FF0000"/>
          <w:highlight w:val="white"/>
        </w:rPr>
      </w:pPr>
      <w:r>
        <w:rPr>
          <w:color w:val="FF0000"/>
          <w:highlight w:val="white"/>
        </w:rPr>
        <w:t>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Variable Consideration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transaction price for our contracts may include variable consideration, which includes increases to transaction price for approved and unapproved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excluded from transaction price in the case of liquidated damages) are not resolved in our favor, or to the extent incentives reflected in transaction price are not earned, there could be reductions in, or reversals of, previously recognized revenue.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Costs of Obtaining a Contract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certain of our operations, we incur commission costs related to entering into a contract that we only incurred because of that contract. When this occurs, we capitalize that cost and amortize it over the expected term of the contract. At June 30, 2020, we had capitalized commission costs of $69.</w:t>
      </w:r>
    </w:p>
    <w:p>
      <w:pPr>
        <w:pStyle w:val="TextBody"/>
        <w:spacing w:lineRule="auto" w:line="288" w:before="0" w:after="0"/>
        <w:jc w:val="both"/>
        <w:rPr>
          <w:color w:val="000000"/>
          <w:highlight w:val="white"/>
        </w:rPr>
      </w:pPr>
      <w:r>
        <w:rPr>
          <w:color w:val="000000"/>
          <w:highlight w:val="white"/>
        </w:rPr>
        <w:t> </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generally do not incur significant incremental costs related to obtaining or fulfilling a contract prior to the start of a project. When significant pre-contract costs are incurred, they will be capitalized and amortized on a percentage of completion basis over the life of the contract.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Disaggregation of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disaggregate our revenue from contracts with customers by activity and contract type, as these categories reflect how the nature, amount, timing and uncertainty of our revenue and cash flows are affected by economic factors. Our consolidated 2020 and 2019 revenue was derived from the following service activities. Certain prior year amounts have been reclassified to conform to current year presentation. See details in the following tables:</w:t>
      </w:r>
    </w:p>
    <w:p>
      <w:pPr>
        <w:pStyle w:val="TextBody"/>
        <w:spacing w:before="0" w:after="0"/>
        <w:rPr/>
      </w:pPr>
      <w:r>
        <w:rPr/>
      </w:r>
    </w:p>
    <w:tbl>
      <w:tblPr>
        <w:tblW w:w="10084" w:type="dxa"/>
        <w:jc w:val="center"/>
        <w:tblInd w:w="0" w:type="dxa"/>
        <w:tblCellMar>
          <w:top w:w="28" w:type="dxa"/>
          <w:left w:w="28" w:type="dxa"/>
          <w:bottom w:w="28" w:type="dxa"/>
          <w:right w:w="28" w:type="dxa"/>
        </w:tblCellMar>
      </w:tblPr>
      <w:tblGrid>
        <w:gridCol w:w="907"/>
        <w:gridCol w:w="798"/>
        <w:gridCol w:w="800"/>
        <w:gridCol w:w="109"/>
        <w:gridCol w:w="109"/>
        <w:gridCol w:w="109"/>
        <w:gridCol w:w="211"/>
        <w:gridCol w:w="826"/>
        <w:gridCol w:w="146"/>
        <w:gridCol w:w="109"/>
        <w:gridCol w:w="109"/>
        <w:gridCol w:w="109"/>
        <w:gridCol w:w="211"/>
        <w:gridCol w:w="826"/>
        <w:gridCol w:w="146"/>
        <w:gridCol w:w="109"/>
        <w:gridCol w:w="109"/>
        <w:gridCol w:w="109"/>
        <w:gridCol w:w="211"/>
        <w:gridCol w:w="826"/>
        <w:gridCol w:w="146"/>
        <w:gridCol w:w="109"/>
        <w:gridCol w:w="109"/>
        <w:gridCol w:w="109"/>
        <w:gridCol w:w="401"/>
        <w:gridCol w:w="1573"/>
        <w:gridCol w:w="278"/>
        <w:gridCol w:w="207"/>
        <w:gridCol w:w="109"/>
        <w:gridCol w:w="154"/>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3" w:type="dxa"/>
            <w:gridSpan w:val="9"/>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4"/>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56,778 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75,370 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190,481 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5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227,928 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Communications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96,500 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90,438 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276,779 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230,200 </w:t>
            </w:r>
          </w:p>
        </w:tc>
        <w:tc>
          <w:tcPr>
            <w:tcW w:w="2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Industrial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9,753 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12,339 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31,588 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36,707 </w:t>
            </w:r>
          </w:p>
        </w:tc>
        <w:tc>
          <w:tcPr>
            <w:tcW w:w="2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Custom Power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22,189 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23,770 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60,937 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63,331 </w:t>
            </w:r>
          </w:p>
        </w:tc>
        <w:tc>
          <w:tcPr>
            <w:tcW w:w="27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Infrastructure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31,942 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36,109 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92,525 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100,038 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Single-family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62,239 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54,200 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176,071 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156,168 </w:t>
            </w:r>
          </w:p>
        </w:tc>
        <w:tc>
          <w:tcPr>
            <w:tcW w:w="2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Multi-family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45,666 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26,516 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124,589 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69,055 </w:t>
            </w:r>
          </w:p>
        </w:tc>
        <w:tc>
          <w:tcPr>
            <w:tcW w:w="27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107,905 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80,716 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300,660 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225,223 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293,125 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282,633 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860,445 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5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783,389 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70" w:type="dxa"/>
            <w:gridSpan w:val="3"/>
            <w:tcBorders/>
            <w:shd w:fill="auto" w:val="clea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w:t>
                      </w:r>
                    </w:p>
                  </w:txbxContent>
                </v:textbox>
              </v:rect>
            </w:pict>
          </mc:Fallback>
        </mc:AlternateContent>
      </w:r>
    </w:p>
    <w:p>
      <w:pPr>
        <w:pStyle w:val="TextBody"/>
        <w:spacing w:before="0" w:after="0"/>
        <w:rPr/>
      </w:pPr>
      <w:r>
        <w:rPr/>
      </w:r>
    </w:p>
    <w:tbl>
      <w:tblPr>
        <w:tblW w:w="13582" w:type="dxa"/>
        <w:jc w:val="center"/>
        <w:tblInd w:w="0" w:type="dxa"/>
        <w:tblCellMar>
          <w:top w:w="28" w:type="dxa"/>
          <w:left w:w="28" w:type="dxa"/>
          <w:bottom w:w="28" w:type="dxa"/>
          <w:right w:w="28" w:type="dxa"/>
        </w:tblCellMar>
      </w:tblPr>
      <w:tblGrid>
        <w:gridCol w:w="299"/>
        <w:gridCol w:w="263"/>
        <w:gridCol w:w="263"/>
        <w:gridCol w:w="263"/>
        <w:gridCol w:w="263"/>
        <w:gridCol w:w="270"/>
        <w:gridCol w:w="109"/>
        <w:gridCol w:w="109"/>
        <w:gridCol w:w="109"/>
        <w:gridCol w:w="182"/>
        <w:gridCol w:w="182"/>
        <w:gridCol w:w="182"/>
        <w:gridCol w:w="182"/>
        <w:gridCol w:w="182"/>
        <w:gridCol w:w="186"/>
        <w:gridCol w:w="412"/>
        <w:gridCol w:w="414"/>
        <w:gridCol w:w="146"/>
        <w:gridCol w:w="109"/>
        <w:gridCol w:w="109"/>
        <w:gridCol w:w="109"/>
        <w:gridCol w:w="236"/>
        <w:gridCol w:w="236"/>
        <w:gridCol w:w="236"/>
        <w:gridCol w:w="412"/>
        <w:gridCol w:w="414"/>
        <w:gridCol w:w="321"/>
        <w:gridCol w:w="109"/>
        <w:gridCol w:w="109"/>
        <w:gridCol w:w="109"/>
        <w:gridCol w:w="109"/>
        <w:gridCol w:w="109"/>
        <w:gridCol w:w="109"/>
        <w:gridCol w:w="412"/>
        <w:gridCol w:w="414"/>
        <w:gridCol w:w="250"/>
        <w:gridCol w:w="187"/>
        <w:gridCol w:w="187"/>
        <w:gridCol w:w="188"/>
        <w:gridCol w:w="109"/>
        <w:gridCol w:w="109"/>
        <w:gridCol w:w="109"/>
        <w:gridCol w:w="413"/>
        <w:gridCol w:w="413"/>
        <w:gridCol w:w="146"/>
        <w:gridCol w:w="172"/>
        <w:gridCol w:w="172"/>
        <w:gridCol w:w="172"/>
        <w:gridCol w:w="172"/>
        <w:gridCol w:w="172"/>
        <w:gridCol w:w="176"/>
        <w:gridCol w:w="826"/>
        <w:gridCol w:w="146"/>
        <w:gridCol w:w="109"/>
        <w:gridCol w:w="270"/>
        <w:gridCol w:w="271"/>
        <w:gridCol w:w="109"/>
        <w:gridCol w:w="109"/>
        <w:gridCol w:w="109"/>
        <w:gridCol w:w="109"/>
        <w:gridCol w:w="109"/>
        <w:gridCol w:w="109"/>
        <w:gridCol w:w="109"/>
        <w:gridCol w:w="109"/>
        <w:gridCol w:w="109"/>
        <w:gridCol w:w="154"/>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270" w:type="dxa"/>
            <w:tcBorders/>
            <w:shd w:fill="auto" w:val="clear"/>
          </w:tcPr>
          <w:p>
            <w:pPr>
              <w:pStyle w:val="TableContents"/>
              <w:spacing w:before="0" w:after="283"/>
              <w:rPr>
                <w:sz w:val="4"/>
                <w:szCs w:val="4"/>
              </w:rPr>
            </w:pPr>
            <w:r>
              <w:rPr>
                <w:sz w:val="4"/>
                <w:szCs w:val="4"/>
              </w:rPr>
            </w:r>
          </w:p>
        </w:tc>
        <w:tc>
          <w:tcPr>
            <w:tcW w:w="271"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4" w:type="dxa"/>
            <w:gridSpan w:val="45"/>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 2020</w:t>
            </w:r>
          </w:p>
        </w:tc>
        <w:tc>
          <w:tcPr>
            <w:tcW w:w="972"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Commercial &amp; Industrial</w:t>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5"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Communications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Infrastructure Solutions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Residential</w:t>
            </w:r>
          </w:p>
        </w:tc>
        <w:tc>
          <w:tcPr>
            <w:tcW w:w="972" w:type="dxa"/>
            <w:gridSpan w:val="2"/>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Fixed-price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53,811 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79,801 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30,504 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107,905 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272,021 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Time-and-material</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2,967 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16,699 </w:t>
            </w:r>
          </w:p>
        </w:tc>
        <w:tc>
          <w:tcPr>
            <w:tcW w:w="32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1,438 </w:t>
            </w:r>
          </w:p>
        </w:tc>
        <w:tc>
          <w:tcPr>
            <w:tcW w:w="25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21,104 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revenue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56,778 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96,500 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31,942 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107,905 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293,125 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13"/>
            <w:tcBorders/>
            <w:shd w:fill="auto" w:val="clear"/>
          </w:tcPr>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4" w:type="dxa"/>
            <w:gridSpan w:val="45"/>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 2019</w:t>
            </w:r>
          </w:p>
        </w:tc>
        <w:tc>
          <w:tcPr>
            <w:tcW w:w="972"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Commercial &amp; Industrial</w:t>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5"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Communications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Infrastructure Solutions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Residential</w:t>
            </w:r>
          </w:p>
        </w:tc>
        <w:tc>
          <w:tcPr>
            <w:tcW w:w="972" w:type="dxa"/>
            <w:gridSpan w:val="2"/>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Fixed-price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70,917 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65,219 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34,244 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80,716 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251,096 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Time-and-material</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4,453 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25,219 </w:t>
            </w:r>
          </w:p>
        </w:tc>
        <w:tc>
          <w:tcPr>
            <w:tcW w:w="32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1,865 </w:t>
            </w:r>
          </w:p>
        </w:tc>
        <w:tc>
          <w:tcPr>
            <w:tcW w:w="25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31,537 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revenue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75,370 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90,438 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36,109 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80,716 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282,633 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57" w:type="dxa"/>
            <w:gridSpan w:val="15"/>
            <w:tcBorders/>
            <w:shd w:fill="auto" w:val="clear"/>
          </w:tcPr>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4" w:type="dxa"/>
            <w:gridSpan w:val="45"/>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 2020</w:t>
            </w:r>
          </w:p>
        </w:tc>
        <w:tc>
          <w:tcPr>
            <w:tcW w:w="972"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Commercial &amp; Industrial</w:t>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5"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Communications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Infrastructure Solutions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Residential</w:t>
            </w:r>
          </w:p>
        </w:tc>
        <w:tc>
          <w:tcPr>
            <w:tcW w:w="972" w:type="dxa"/>
            <w:gridSpan w:val="2"/>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Fixed-price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180,425 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213,205 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87,479 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300,660 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781,769 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Time-and-material</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10,056 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63,574 </w:t>
            </w:r>
          </w:p>
        </w:tc>
        <w:tc>
          <w:tcPr>
            <w:tcW w:w="32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5,046 </w:t>
            </w:r>
          </w:p>
        </w:tc>
        <w:tc>
          <w:tcPr>
            <w:tcW w:w="25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78,676 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revenue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190,481 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276,779 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92,525 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300,660 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860,445 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13"/>
            <w:tcBorders/>
            <w:shd w:fill="auto" w:val="clear"/>
          </w:tcPr>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4" w:type="dxa"/>
            <w:gridSpan w:val="45"/>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 2019</w:t>
            </w:r>
          </w:p>
        </w:tc>
        <w:tc>
          <w:tcPr>
            <w:tcW w:w="972"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Commercial &amp; Industrial</w:t>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5"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Communications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Infrastructure Solutions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Residential</w:t>
            </w:r>
          </w:p>
        </w:tc>
        <w:tc>
          <w:tcPr>
            <w:tcW w:w="972" w:type="dxa"/>
            <w:gridSpan w:val="2"/>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Fixed-price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213,214 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162,650 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93,853 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225,223 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694,940 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Time-and-material</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14,714 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67,550 </w:t>
            </w:r>
          </w:p>
        </w:tc>
        <w:tc>
          <w:tcPr>
            <w:tcW w:w="32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6,185 </w:t>
            </w:r>
          </w:p>
        </w:tc>
        <w:tc>
          <w:tcPr>
            <w:tcW w:w="25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88,449 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revenue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227,928 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230,200 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100,038 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5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225,223 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783,389 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1785" w:type="dxa"/>
            <w:gridSpan w:val="13"/>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Accounts Receivable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Accounts receivable include amounts which we have billed or have an unconditional right to bill our customers. As of June 30, 2020, Accounts receivable included $8,324 of unbilled receivables for which we have an unconditional right to bill.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Contract Assets and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balance sheet under the caption “Costs and estimated earnings in excess of billings”. Amounts by which cumulative billings to the customer under a contract as of a given date exceed cumulative contract revenue recognized are reflected as a current liability in our balance sheet under the caption “Billings in excess of costs and estimated earnings”.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net asset (liability) position for contracts in process consisted of the following:</w:t>
      </w:r>
    </w:p>
    <w:p>
      <w:pPr>
        <w:pStyle w:val="TextBody"/>
        <w:spacing w:before="0" w:after="0"/>
        <w:jc w:val="center"/>
        <w:rPr/>
      </w:pPr>
      <w:r>
        <w:rPr/>
      </w:r>
    </w:p>
    <w:tbl>
      <w:tblPr>
        <w:tblW w:w="8767" w:type="dxa"/>
        <w:jc w:val="center"/>
        <w:tblInd w:w="0" w:type="dxa"/>
        <w:tblCellMar>
          <w:top w:w="28" w:type="dxa"/>
          <w:left w:w="28" w:type="dxa"/>
          <w:bottom w:w="28" w:type="dxa"/>
          <w:right w:w="28" w:type="dxa"/>
        </w:tblCellMar>
      </w:tblPr>
      <w:tblGrid>
        <w:gridCol w:w="1675"/>
        <w:gridCol w:w="1468"/>
        <w:gridCol w:w="1476"/>
        <w:gridCol w:w="109"/>
        <w:gridCol w:w="109"/>
        <w:gridCol w:w="109"/>
        <w:gridCol w:w="123"/>
        <w:gridCol w:w="123"/>
        <w:gridCol w:w="123"/>
        <w:gridCol w:w="449"/>
        <w:gridCol w:w="451"/>
        <w:gridCol w:w="165"/>
        <w:gridCol w:w="109"/>
        <w:gridCol w:w="109"/>
        <w:gridCol w:w="109"/>
        <w:gridCol w:w="109"/>
        <w:gridCol w:w="109"/>
        <w:gridCol w:w="109"/>
        <w:gridCol w:w="449"/>
        <w:gridCol w:w="451"/>
        <w:gridCol w:w="388"/>
        <w:gridCol w:w="291"/>
        <w:gridCol w:w="154"/>
      </w:tblGrid>
      <w:tr>
        <w:trPr/>
        <w:tc>
          <w:tcPr>
            <w:tcW w:w="1675"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30,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4"/>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September 30,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4"/>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Costs and estimated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868,267 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761,401 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5" w:type="dxa"/>
            <w:gridSpan w:val="2"/>
            <w:tcBorders/>
            <w:shd w:fill="auto" w:val="clear"/>
          </w:tcPr>
          <w:p>
            <w:pPr>
              <w:pStyle w:val="TableContents"/>
              <w:spacing w:before="0" w:after="283"/>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Less: Billings to date and unbilled 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(898,620)</w:t>
            </w:r>
          </w:p>
        </w:tc>
        <w:tc>
          <w:tcPr>
            <w:tcW w:w="165"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(772,104)</w:t>
            </w:r>
          </w:p>
        </w:tc>
        <w:tc>
          <w:tcPr>
            <w:tcW w:w="38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5" w:type="dxa"/>
            <w:gridSpan w:val="2"/>
            <w:tcBorders/>
            <w:shd w:fill="auto" w:val="clea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(30,353)</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(10,703)</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5" w:type="dxa"/>
            <w:gridSpan w:val="2"/>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net asset (liability) position for contracts in process included in the accompanying consolidated balance sheets was as follows:</w:t>
      </w:r>
    </w:p>
    <w:p>
      <w:pPr>
        <w:pStyle w:val="TextBody"/>
        <w:spacing w:before="0" w:after="0"/>
        <w:jc w:val="center"/>
        <w:rPr/>
      </w:pPr>
      <w:r>
        <w:rPr/>
      </w:r>
    </w:p>
    <w:tbl>
      <w:tblPr>
        <w:tblW w:w="8078" w:type="dxa"/>
        <w:jc w:val="center"/>
        <w:tblInd w:w="0" w:type="dxa"/>
        <w:tblCellMar>
          <w:top w:w="28" w:type="dxa"/>
          <w:left w:w="28" w:type="dxa"/>
          <w:bottom w:w="28" w:type="dxa"/>
          <w:right w:w="28" w:type="dxa"/>
        </w:tblCellMar>
      </w:tblPr>
      <w:tblGrid>
        <w:gridCol w:w="1498"/>
        <w:gridCol w:w="1319"/>
        <w:gridCol w:w="1323"/>
        <w:gridCol w:w="109"/>
        <w:gridCol w:w="109"/>
        <w:gridCol w:w="109"/>
        <w:gridCol w:w="123"/>
        <w:gridCol w:w="123"/>
        <w:gridCol w:w="123"/>
        <w:gridCol w:w="396"/>
        <w:gridCol w:w="399"/>
        <w:gridCol w:w="165"/>
        <w:gridCol w:w="109"/>
        <w:gridCol w:w="109"/>
        <w:gridCol w:w="109"/>
        <w:gridCol w:w="109"/>
        <w:gridCol w:w="109"/>
        <w:gridCol w:w="109"/>
        <w:gridCol w:w="396"/>
        <w:gridCol w:w="399"/>
        <w:gridCol w:w="388"/>
        <w:gridCol w:w="291"/>
        <w:gridCol w:w="154"/>
      </w:tblGrid>
      <w:tr>
        <w:trPr/>
        <w:tc>
          <w:tcPr>
            <w:tcW w:w="1498"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30,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4"/>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September 30,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4"/>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Costs and estimated earnings in excess of billings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25,821 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29,860 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5" w:type="dxa"/>
            <w:gridSpan w:val="2"/>
            <w:tcBorders/>
            <w:shd w:fill="auto" w:val="clea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Billings in excess of costs and estimated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(56,174)</w:t>
            </w:r>
          </w:p>
        </w:tc>
        <w:tc>
          <w:tcPr>
            <w:tcW w:w="165"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(40,563)</w:t>
            </w:r>
          </w:p>
        </w:tc>
        <w:tc>
          <w:tcPr>
            <w:tcW w:w="38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5" w:type="dxa"/>
            <w:gridSpan w:val="2"/>
            <w:tcBorders/>
            <w:shd w:fill="auto" w:val="clea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(30,353)</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(10,703)</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445" w:type="dxa"/>
            <w:gridSpan w:val="2"/>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three months ended June 30, 2020 and 2019, we recognized revenue of $19,661 and $18,472 related to our contract liabilities at April 1, 2020 and 2019, respectively. During the nine months ended June 30, 2020 and 2019, we recognized revenue of $29,692 and $28,816 related to our contract liabilities at October 1, 2019 and 2018, respectively.</w:t>
      </w:r>
    </w:p>
    <w:p>
      <w:pPr>
        <w:pStyle w:val="TextBody"/>
        <w:spacing w:lineRule="auto" w:line="288" w:before="0" w:after="0"/>
        <w:jc w:val="both"/>
        <w:rPr>
          <w:color w:val="000000"/>
          <w:highlight w:val="white"/>
        </w:rPr>
      </w:pPr>
      <w:r>
        <w:rPr>
          <w:color w:val="000000"/>
          <w:highlight w:val="white"/>
        </w:rPr>
        <w:t> </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did not have any impairment losses recognized on our receivables or contract assets for the three and nine months ended June 30, 2020 or 2019.</w:t>
      </w:r>
    </w:p>
    <w:p>
      <w:pPr>
        <w:pStyle w:val="TextBody"/>
        <w:spacing w:lineRule="auto" w:line="288" w:before="0" w:after="0"/>
        <w:rPr/>
      </w:pPr>
      <w:r>
        <w:rPr>
          <w:rFonts w:ascii="Times New Roman;sans-serif" w:hAnsi="Times New Roman;sans-serif"/>
          <w:b w:val="false"/>
          <w:i/>
          <w:color w:val="000000"/>
          <w:sz w:val="20"/>
          <w:highlight w:val="white"/>
        </w:rPr>
        <w:t>Remaining Performance Obligations</w:t>
      </w:r>
      <w:r>
        <w:rPr>
          <w:color w:val="000000"/>
          <w:highlight w:val="white"/>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June 30, 2020, we had remaining performance obligations of $523. The Company expects to recognize revenue on approximately $451 of the remaining performance obligations over the next 12 months, with the remaining recognized thereafter.</w:t>
      </w:r>
    </w:p>
    <w:p>
      <w:pPr>
        <w:pStyle w:val="TextBody"/>
        <w:spacing w:lineRule="auto" w:line="288" w:before="0" w:after="0"/>
        <w:jc w:val="both"/>
        <w:rPr>
          <w:color w:val="000000"/>
          <w:highlight w:val="white"/>
        </w:rPr>
      </w:pPr>
      <w:r>
        <w:rPr>
          <w:color w:val="000000"/>
          <w:highlight w:val="white"/>
        </w:rPr>
        <w:t> </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three and nine months ended June 30, 2020, net revenue recognized from our performance obligations satisfied in previous periods was not material.</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4.  DEBT</w:t>
      </w:r>
    </w:p>
    <w:p>
      <w:pPr>
        <w:pStyle w:val="TextBody"/>
        <w:spacing w:before="0" w:after="0"/>
        <w:jc w:val="both"/>
        <w:rPr/>
      </w:pPr>
      <w:r>
        <w:rPr/>
      </w:r>
    </w:p>
    <w:p>
      <w:pPr>
        <w:pStyle w:val="TextBody"/>
        <w:spacing w:lineRule="auto" w:line="27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At June 30, 2020 and September 30, 2019, we had zero borrowings outstanding under the credit facility, and long-term debt related to loans on capital expenditures of $256 and $299, respectively. At June 30, 2020, we also had $6,962 in outstanding letters of credit and total availability of $89,298 under our revolving credit facility without violating our financial covenants.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our Second Amended and Restated Credit and Security Agreement with Wells Fargo Bank, N.A. (as amended, the “Credit Agreement”), the Company is subject to the financial or other covenants disclosed in Item 7 of our Annual Report on Form 10-K for the year ended September 30, 2019. The Company was in compliance with the financial covenants as of June 30, 2020.</w:t>
      </w:r>
    </w:p>
    <w:p>
      <w:pPr>
        <w:pStyle w:val="TextBody"/>
        <w:spacing w:before="0" w:after="0"/>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17</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5. PER SHARE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tables reconcile the components of basic and diluted earnings per share for the three and nine months ended June 30, 2020 and 2019:</w:t>
      </w:r>
    </w:p>
    <w:tbl>
      <w:tblPr>
        <w:tblW w:w="10539" w:type="dxa"/>
        <w:jc w:val="center"/>
        <w:tblInd w:w="0" w:type="dxa"/>
        <w:tblCellMar>
          <w:top w:w="28" w:type="dxa"/>
          <w:left w:w="28" w:type="dxa"/>
          <w:bottom w:w="28" w:type="dxa"/>
          <w:right w:w="28" w:type="dxa"/>
        </w:tblCellMar>
      </w:tblPr>
      <w:tblGrid>
        <w:gridCol w:w="2099"/>
        <w:gridCol w:w="1842"/>
        <w:gridCol w:w="1853"/>
        <w:gridCol w:w="109"/>
        <w:gridCol w:w="109"/>
        <w:gridCol w:w="109"/>
        <w:gridCol w:w="151"/>
        <w:gridCol w:w="151"/>
        <w:gridCol w:w="151"/>
        <w:gridCol w:w="539"/>
        <w:gridCol w:w="542"/>
        <w:gridCol w:w="203"/>
        <w:gridCol w:w="151"/>
        <w:gridCol w:w="151"/>
        <w:gridCol w:w="151"/>
        <w:gridCol w:w="151"/>
        <w:gridCol w:w="151"/>
        <w:gridCol w:w="151"/>
        <w:gridCol w:w="641"/>
        <w:gridCol w:w="440"/>
        <w:gridCol w:w="203"/>
        <w:gridCol w:w="109"/>
        <w:gridCol w:w="109"/>
        <w:gridCol w:w="109"/>
        <w:gridCol w:w="164"/>
      </w:tblGrid>
      <w:tr>
        <w:trPr/>
        <w:tc>
          <w:tcPr>
            <w:tcW w:w="209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64" w:type="dxa"/>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7" w:type="dxa"/>
            <w:gridSpan w:val="15"/>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453"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4"/>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273" w:type="dxa"/>
            <w:gridSpan w:val="2"/>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common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8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12,066 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8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10,826 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restricted stockholders of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194 </w:t>
            </w:r>
          </w:p>
        </w:tc>
        <w:tc>
          <w:tcPr>
            <w:tcW w:w="20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146 </w:t>
            </w:r>
          </w:p>
        </w:tc>
        <w:tc>
          <w:tcPr>
            <w:tcW w:w="20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12,260 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10,972 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Denominator: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20,728,149 </w:t>
            </w:r>
          </w:p>
        </w:tc>
        <w:tc>
          <w:tcPr>
            <w:tcW w:w="20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21,043,425 </w:t>
            </w:r>
          </w:p>
        </w:tc>
        <w:tc>
          <w:tcPr>
            <w:tcW w:w="20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Effect of dilutive stock options and non-vested restricted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268,583 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257,810 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Weighted average common and common equivalent shares outstanding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20,996,732 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21,301,235 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Earnings per share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284"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0.58</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284"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0.52</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284"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0.58</w:t>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284"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0.52</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7" w:type="dxa"/>
            <w:gridSpan w:val="15"/>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6"/>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453"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4"/>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273" w:type="dxa"/>
            <w:gridSpan w:val="2"/>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Numerator: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common stockholders of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8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26,577 </w:t>
            </w:r>
          </w:p>
        </w:tc>
        <w:tc>
          <w:tcPr>
            <w:tcW w:w="20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8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23,210 </w:t>
            </w:r>
          </w:p>
        </w:tc>
        <w:tc>
          <w:tcPr>
            <w:tcW w:w="20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284" w:type="dxa"/>
            <w:gridSpan w:val="3"/>
            <w:tcBorders/>
            <w:shd w:fill="auto" w:val="cle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restricted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416 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135 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26,993 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23,345 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Weighted average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20,819,857 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21,139,697 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Effect of dilutive stock options and non-vested restricted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264,410 </w:t>
            </w:r>
          </w:p>
        </w:tc>
        <w:tc>
          <w:tcPr>
            <w:tcW w:w="20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242,481 </w:t>
            </w:r>
          </w:p>
        </w:tc>
        <w:tc>
          <w:tcPr>
            <w:tcW w:w="20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Weighted average common and common equivalent shares outstanding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21,084,267 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21,382,178 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Earnings per share attributable to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284"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1.28</w:t>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284"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1.10</w:t>
            </w:r>
          </w:p>
        </w:tc>
        <w:tc>
          <w:tcPr>
            <w:tcW w:w="491" w:type="dxa"/>
            <w:gridSpan w:val="4"/>
            <w:tcBorders/>
            <w:shd w:fill="auto" w:val="clear"/>
          </w:tcPr>
          <w:p>
            <w:pPr>
              <w:pStyle w:val="TableContents"/>
              <w:spacing w:before="0" w:after="283"/>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284"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1.26</w:t>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284"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1.09</w:t>
            </w:r>
          </w:p>
        </w:tc>
        <w:tc>
          <w:tcPr>
            <w:tcW w:w="491" w:type="dxa"/>
            <w:gridSpan w:val="4"/>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three and nine months ended June 30, 2020 and 2019, the average price of our common shares exceeded the exercise price of all of our outstanding options; therefore, all of our outstanding stock options were included in the computation of fully diluted earnings per share.</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75260"/>
                <wp:effectExtent l="0" t="0" r="0" b="0"/>
                <wp:wrapNone/>
                <wp:docPr id="19" name="Frame1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6. OPERATING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manage and measure performance of our business in four distinct operating segments: Commercial &amp; Industrial, Communications, Infrastructure Solutions and Residential. These segments are reflective of how the Company’s Chief Operating Decision Maker (“CODM”) reviews operating results for the purpose of allocating resources and assessing performance. The Company’s CODM is its Chief Executive Officer.</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Segment information for the three and nine months ended June 30, 2020 and 2019 is as follows:</w:t>
      </w:r>
    </w:p>
    <w:p>
      <w:pPr>
        <w:pStyle w:val="TextBody"/>
        <w:spacing w:before="0" w:after="0"/>
        <w:rPr/>
      </w:pPr>
      <w:r>
        <w:rPr/>
      </w:r>
    </w:p>
    <w:tbl>
      <w:tblPr>
        <w:tblW w:w="15059" w:type="dxa"/>
        <w:jc w:val="center"/>
        <w:tblInd w:w="0" w:type="dxa"/>
        <w:tblCellMar>
          <w:top w:w="28" w:type="dxa"/>
          <w:left w:w="28" w:type="dxa"/>
          <w:bottom w:w="28" w:type="dxa"/>
          <w:right w:w="28" w:type="dxa"/>
        </w:tblCellMar>
      </w:tblPr>
      <w:tblGrid>
        <w:gridCol w:w="233"/>
        <w:gridCol w:w="205"/>
        <w:gridCol w:w="205"/>
        <w:gridCol w:w="415"/>
        <w:gridCol w:w="415"/>
        <w:gridCol w:w="176"/>
        <w:gridCol w:w="196"/>
        <w:gridCol w:w="646"/>
        <w:gridCol w:w="146"/>
        <w:gridCol w:w="196"/>
        <w:gridCol w:w="646"/>
        <w:gridCol w:w="146"/>
        <w:gridCol w:w="237"/>
        <w:gridCol w:w="891"/>
        <w:gridCol w:w="178"/>
        <w:gridCol w:w="196"/>
        <w:gridCol w:w="646"/>
        <w:gridCol w:w="146"/>
        <w:gridCol w:w="196"/>
        <w:gridCol w:w="736"/>
        <w:gridCol w:w="146"/>
        <w:gridCol w:w="196"/>
        <w:gridCol w:w="646"/>
        <w:gridCol w:w="146"/>
        <w:gridCol w:w="196"/>
        <w:gridCol w:w="736"/>
        <w:gridCol w:w="146"/>
        <w:gridCol w:w="196"/>
        <w:gridCol w:w="736"/>
        <w:gridCol w:w="146"/>
        <w:gridCol w:w="196"/>
        <w:gridCol w:w="646"/>
        <w:gridCol w:w="146"/>
        <w:gridCol w:w="196"/>
        <w:gridCol w:w="406"/>
        <w:gridCol w:w="146"/>
        <w:gridCol w:w="196"/>
        <w:gridCol w:w="736"/>
        <w:gridCol w:w="146"/>
        <w:gridCol w:w="196"/>
        <w:gridCol w:w="736"/>
        <w:gridCol w:w="146"/>
        <w:gridCol w:w="109"/>
        <w:gridCol w:w="109"/>
        <w:gridCol w:w="109"/>
        <w:gridCol w:w="109"/>
        <w:gridCol w:w="109"/>
        <w:gridCol w:w="109"/>
        <w:gridCol w:w="109"/>
        <w:gridCol w:w="109"/>
        <w:gridCol w:w="154"/>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6" w:type="dxa"/>
            <w:gridSpan w:val="3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Three Months Ended June 30, 2020</w:t>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Commercial &amp; Industrial</w:t>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Communications</w:t>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Infrastructure Solutions</w:t>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Residential</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Corporate</w:t>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Total</w:t>
            </w:r>
          </w:p>
        </w:tc>
        <w:tc>
          <w:tcPr>
            <w:tcW w:w="2104" w:type="dxa"/>
            <w:gridSpan w:val="12"/>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Revenues</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56,778 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96,500 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31,942 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107,905 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293,125 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Cost of services</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52,212 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77,792 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22,609 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82,192 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234,805 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Gross profit</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4,566 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18,708 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9,333 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25,713 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58,320 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Selling, general and administrative</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8,786 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9,316 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5,512 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16,767 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3,880 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44,261 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643"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748"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2104" w:type="dxa"/>
            <w:gridSpan w:val="12"/>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Loss (gain) on sale of assets</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Operating income (loss)</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(4,214)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9,392 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3,818 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8,946 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(3,880)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14,062 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Other data:</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Depreciation and amortization expense</w:t>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692 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330 </w:t>
            </w:r>
          </w:p>
        </w:tc>
        <w:tc>
          <w:tcPr>
            <w:tcW w:w="1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1,683 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476 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3,200 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104" w:type="dxa"/>
            <w:gridSpan w:val="12"/>
            <w:tcBorders/>
            <w:shd w:fill="auto" w:val="clear"/>
          </w:tcPr>
          <w:p>
            <w:pPr>
              <w:pStyle w:val="TableContents"/>
              <w:spacing w:before="0" w:after="283"/>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Capital expenditures</w:t>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496 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63 </w:t>
            </w:r>
          </w:p>
        </w:tc>
        <w:tc>
          <w:tcPr>
            <w:tcW w:w="17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135 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108 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802 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104" w:type="dxa"/>
            <w:gridSpan w:val="12"/>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Total assets</w:t>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71,877 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131,796 </w:t>
            </w:r>
          </w:p>
        </w:tc>
        <w:tc>
          <w:tcPr>
            <w:tcW w:w="1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126,557 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107,919 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87,176 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525,325 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104" w:type="dxa"/>
            <w:gridSpan w:val="12"/>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tbl>
      <w:tblPr>
        <w:tblW w:w="14879" w:type="dxa"/>
        <w:jc w:val="center"/>
        <w:tblInd w:w="0" w:type="dxa"/>
        <w:tblCellMar>
          <w:top w:w="28" w:type="dxa"/>
          <w:left w:w="28" w:type="dxa"/>
          <w:bottom w:w="28" w:type="dxa"/>
          <w:right w:w="28" w:type="dxa"/>
        </w:tblCellMar>
      </w:tblPr>
      <w:tblGrid>
        <w:gridCol w:w="233"/>
        <w:gridCol w:w="205"/>
        <w:gridCol w:w="205"/>
        <w:gridCol w:w="415"/>
        <w:gridCol w:w="415"/>
        <w:gridCol w:w="176"/>
        <w:gridCol w:w="196"/>
        <w:gridCol w:w="646"/>
        <w:gridCol w:w="146"/>
        <w:gridCol w:w="196"/>
        <w:gridCol w:w="646"/>
        <w:gridCol w:w="146"/>
        <w:gridCol w:w="237"/>
        <w:gridCol w:w="891"/>
        <w:gridCol w:w="178"/>
        <w:gridCol w:w="196"/>
        <w:gridCol w:w="646"/>
        <w:gridCol w:w="146"/>
        <w:gridCol w:w="196"/>
        <w:gridCol w:w="736"/>
        <w:gridCol w:w="146"/>
        <w:gridCol w:w="196"/>
        <w:gridCol w:w="646"/>
        <w:gridCol w:w="146"/>
        <w:gridCol w:w="196"/>
        <w:gridCol w:w="646"/>
        <w:gridCol w:w="146"/>
        <w:gridCol w:w="196"/>
        <w:gridCol w:w="646"/>
        <w:gridCol w:w="146"/>
        <w:gridCol w:w="196"/>
        <w:gridCol w:w="646"/>
        <w:gridCol w:w="146"/>
        <w:gridCol w:w="196"/>
        <w:gridCol w:w="406"/>
        <w:gridCol w:w="146"/>
        <w:gridCol w:w="196"/>
        <w:gridCol w:w="736"/>
        <w:gridCol w:w="146"/>
        <w:gridCol w:w="196"/>
        <w:gridCol w:w="736"/>
        <w:gridCol w:w="146"/>
        <w:gridCol w:w="109"/>
        <w:gridCol w:w="109"/>
        <w:gridCol w:w="109"/>
        <w:gridCol w:w="109"/>
        <w:gridCol w:w="109"/>
        <w:gridCol w:w="109"/>
        <w:gridCol w:w="109"/>
        <w:gridCol w:w="109"/>
        <w:gridCol w:w="154"/>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6" w:type="dxa"/>
            <w:gridSpan w:val="3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Three Months Ended June 30, 2019</w:t>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Commercial &amp; Industrial</w:t>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Communications</w:t>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Infrastructure Solutions</w:t>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Residential</w:t>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Corporate</w:t>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Total</w:t>
            </w:r>
          </w:p>
        </w:tc>
        <w:tc>
          <w:tcPr>
            <w:tcW w:w="2104" w:type="dxa"/>
            <w:gridSpan w:val="12"/>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Revenues</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75,370 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90,438 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36,109 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80,716 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282,633 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Cost of services</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69,171 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75,044 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27,671 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64,350 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236,236 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Gross profit</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6,199 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15,394 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8,438 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16,366 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46,397 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Selling, general and administrative</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6,827 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8,406 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4,937 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11,812 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4,351 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36,333 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Contingent consideration</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(163)</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(163)</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Loss (gain) on sale of assets</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Operating income (loss)</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(624)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6,988 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3,668 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4,554 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(4,351)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10,235 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26" w:type="dxa"/>
            <w:gridSpan w:val="9"/>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Other data:</w:t>
            </w:r>
          </w:p>
        </w:tc>
        <w:tc>
          <w:tcPr>
            <w:tcW w:w="988"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Depreciation and amortization expense</w:t>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652 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339 </w:t>
            </w:r>
          </w:p>
        </w:tc>
        <w:tc>
          <w:tcPr>
            <w:tcW w:w="17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1,122 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218 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2,354 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104" w:type="dxa"/>
            <w:gridSpan w:val="12"/>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Capital expenditures</w:t>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507 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74 </w:t>
            </w:r>
          </w:p>
        </w:tc>
        <w:tc>
          <w:tcPr>
            <w:tcW w:w="1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311 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329 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1,243 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104" w:type="dxa"/>
            <w:gridSpan w:val="12"/>
            <w:tcBorders/>
            <w:shd w:fill="auto" w:val="clear"/>
          </w:tcPr>
          <w:p>
            <w:pPr>
              <w:pStyle w:val="TableContents"/>
              <w:spacing w:before="0" w:after="283"/>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Total assets</w:t>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81,693 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111,270 </w:t>
            </w:r>
          </w:p>
        </w:tc>
        <w:tc>
          <w:tcPr>
            <w:tcW w:w="17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118,143 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57,866 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69,392 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438,364 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104" w:type="dxa"/>
            <w:gridSpan w:val="12"/>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w:t>
                      </w:r>
                    </w:p>
                  </w:txbxContent>
                </v:textbox>
              </v:rect>
            </w:pict>
          </mc:Fallback>
        </mc:AlternateContent>
      </w:r>
    </w:p>
    <w:p>
      <w:pPr>
        <w:pStyle w:val="TextBody"/>
        <w:spacing w:before="0" w:after="0"/>
        <w:rPr/>
      </w:pPr>
      <w:r>
        <w:rPr/>
      </w:r>
    </w:p>
    <w:tbl>
      <w:tblPr>
        <w:tblW w:w="15734" w:type="dxa"/>
        <w:jc w:val="center"/>
        <w:tblInd w:w="0" w:type="dxa"/>
        <w:tblCellMar>
          <w:top w:w="28" w:type="dxa"/>
          <w:left w:w="28" w:type="dxa"/>
          <w:bottom w:w="28" w:type="dxa"/>
          <w:right w:w="28" w:type="dxa"/>
        </w:tblCellMar>
      </w:tblPr>
      <w:tblGrid>
        <w:gridCol w:w="233"/>
        <w:gridCol w:w="205"/>
        <w:gridCol w:w="205"/>
        <w:gridCol w:w="415"/>
        <w:gridCol w:w="415"/>
        <w:gridCol w:w="176"/>
        <w:gridCol w:w="109"/>
        <w:gridCol w:w="109"/>
        <w:gridCol w:w="109"/>
        <w:gridCol w:w="196"/>
        <w:gridCol w:w="646"/>
        <w:gridCol w:w="146"/>
        <w:gridCol w:w="196"/>
        <w:gridCol w:w="736"/>
        <w:gridCol w:w="146"/>
        <w:gridCol w:w="237"/>
        <w:gridCol w:w="891"/>
        <w:gridCol w:w="178"/>
        <w:gridCol w:w="196"/>
        <w:gridCol w:w="736"/>
        <w:gridCol w:w="146"/>
        <w:gridCol w:w="196"/>
        <w:gridCol w:w="736"/>
        <w:gridCol w:w="146"/>
        <w:gridCol w:w="196"/>
        <w:gridCol w:w="646"/>
        <w:gridCol w:w="146"/>
        <w:gridCol w:w="196"/>
        <w:gridCol w:w="736"/>
        <w:gridCol w:w="146"/>
        <w:gridCol w:w="196"/>
        <w:gridCol w:w="736"/>
        <w:gridCol w:w="146"/>
        <w:gridCol w:w="196"/>
        <w:gridCol w:w="646"/>
        <w:gridCol w:w="146"/>
        <w:gridCol w:w="214"/>
        <w:gridCol w:w="447"/>
        <w:gridCol w:w="146"/>
        <w:gridCol w:w="196"/>
        <w:gridCol w:w="736"/>
        <w:gridCol w:w="146"/>
        <w:gridCol w:w="196"/>
        <w:gridCol w:w="736"/>
        <w:gridCol w:w="146"/>
        <w:gridCol w:w="109"/>
        <w:gridCol w:w="109"/>
        <w:gridCol w:w="109"/>
        <w:gridCol w:w="109"/>
        <w:gridCol w:w="109"/>
        <w:gridCol w:w="109"/>
        <w:gridCol w:w="109"/>
        <w:gridCol w:w="109"/>
        <w:gridCol w:w="109"/>
        <w:gridCol w:w="154"/>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2" w:type="dxa"/>
            <w:gridSpan w:val="3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Nine Months Ended June 30, 2020</w:t>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Commercial &amp; Industrial</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Communications</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Infrastructure Solutions</w:t>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Residential</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Corporate</w:t>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Total</w:t>
            </w:r>
          </w:p>
        </w:tc>
        <w:tc>
          <w:tcPr>
            <w:tcW w:w="2213" w:type="dxa"/>
            <w:gridSpan w:val="13"/>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Revenues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190,481 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276,779 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92,525 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300,660 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860,445 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Cost of services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174,712 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225,866 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68,177 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231,891 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700,646 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Gross profit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15,769 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50,913 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24,348 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68,769 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159,799 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Selling, general and administrative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24,660 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27,304 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14,923 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46,241 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11,041 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124,169 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643"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80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2213" w:type="dxa"/>
            <w:gridSpan w:val="13"/>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Loss (gain) on sale of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(34)</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(40)</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Operating income (loss)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(8,857)</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23,618 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9,422 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22,528 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(11,041)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35,670 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Other data:</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2,057 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1,010 </w:t>
            </w:r>
          </w:p>
        </w:tc>
        <w:tc>
          <w:tcPr>
            <w:tcW w:w="1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4,557 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1,117 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8,797 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13" w:type="dxa"/>
            <w:gridSpan w:val="13"/>
            <w:tcBorders/>
            <w:shd w:fill="auto" w:val="clear"/>
          </w:tcPr>
          <w:p>
            <w:pPr>
              <w:pStyle w:val="TableContents"/>
              <w:spacing w:before="0" w:after="283"/>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1,168 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531 </w:t>
            </w:r>
          </w:p>
        </w:tc>
        <w:tc>
          <w:tcPr>
            <w:tcW w:w="17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725 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977 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299 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3,700 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13" w:type="dxa"/>
            <w:gridSpan w:val="13"/>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71,877 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131,796 </w:t>
            </w:r>
          </w:p>
        </w:tc>
        <w:tc>
          <w:tcPr>
            <w:tcW w:w="1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126,557 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107,919 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87,176 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525,325 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13" w:type="dxa"/>
            <w:gridSpan w:val="13"/>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13"/>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tbl>
      <w:tblPr>
        <w:tblW w:w="15734" w:type="dxa"/>
        <w:jc w:val="center"/>
        <w:tblInd w:w="0" w:type="dxa"/>
        <w:tblCellMar>
          <w:top w:w="28" w:type="dxa"/>
          <w:left w:w="28" w:type="dxa"/>
          <w:bottom w:w="28" w:type="dxa"/>
          <w:right w:w="28" w:type="dxa"/>
        </w:tblCellMar>
      </w:tblPr>
      <w:tblGrid>
        <w:gridCol w:w="233"/>
        <w:gridCol w:w="205"/>
        <w:gridCol w:w="205"/>
        <w:gridCol w:w="415"/>
        <w:gridCol w:w="415"/>
        <w:gridCol w:w="176"/>
        <w:gridCol w:w="109"/>
        <w:gridCol w:w="109"/>
        <w:gridCol w:w="109"/>
        <w:gridCol w:w="196"/>
        <w:gridCol w:w="646"/>
        <w:gridCol w:w="146"/>
        <w:gridCol w:w="196"/>
        <w:gridCol w:w="736"/>
        <w:gridCol w:w="146"/>
        <w:gridCol w:w="237"/>
        <w:gridCol w:w="891"/>
        <w:gridCol w:w="178"/>
        <w:gridCol w:w="196"/>
        <w:gridCol w:w="736"/>
        <w:gridCol w:w="146"/>
        <w:gridCol w:w="196"/>
        <w:gridCol w:w="736"/>
        <w:gridCol w:w="146"/>
        <w:gridCol w:w="196"/>
        <w:gridCol w:w="736"/>
        <w:gridCol w:w="146"/>
        <w:gridCol w:w="196"/>
        <w:gridCol w:w="646"/>
        <w:gridCol w:w="146"/>
        <w:gridCol w:w="196"/>
        <w:gridCol w:w="736"/>
        <w:gridCol w:w="146"/>
        <w:gridCol w:w="196"/>
        <w:gridCol w:w="646"/>
        <w:gridCol w:w="146"/>
        <w:gridCol w:w="214"/>
        <w:gridCol w:w="447"/>
        <w:gridCol w:w="146"/>
        <w:gridCol w:w="196"/>
        <w:gridCol w:w="736"/>
        <w:gridCol w:w="146"/>
        <w:gridCol w:w="196"/>
        <w:gridCol w:w="736"/>
        <w:gridCol w:w="146"/>
        <w:gridCol w:w="109"/>
        <w:gridCol w:w="109"/>
        <w:gridCol w:w="109"/>
        <w:gridCol w:w="109"/>
        <w:gridCol w:w="109"/>
        <w:gridCol w:w="109"/>
        <w:gridCol w:w="109"/>
        <w:gridCol w:w="109"/>
        <w:gridCol w:w="109"/>
        <w:gridCol w:w="154"/>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2" w:type="dxa"/>
            <w:gridSpan w:val="3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Nine Months Ended June 30, 2019</w:t>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Commercial &amp; Industrial</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Communications</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Infrastructure Solutions</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Residential</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Corporate</w:t>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Total</w:t>
            </w:r>
          </w:p>
        </w:tc>
        <w:tc>
          <w:tcPr>
            <w:tcW w:w="2213" w:type="dxa"/>
            <w:gridSpan w:val="13"/>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Revenues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227,928 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230,200 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100,038 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225,223 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783,389 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Cost of services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204,263 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190,895 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78,227 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178,771 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652,156 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Gross profit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23,665 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39,305 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21,811 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46,452 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131,233 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Selling, general and administrative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20,906 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23,006 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14,103 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34,136 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11,338 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103,489 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Contingent consideration</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(278)</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(278)</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Loss (gain) on sale of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97 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Operating income (loss)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2,767 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16,299 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7,889 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12,318 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(11,338)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27,935 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35" w:type="dxa"/>
            <w:gridSpan w:val="10"/>
            <w:tcBorders/>
            <w:shd w:fill="auto" w:val="clear"/>
          </w:tcPr>
          <w:p>
            <w:pPr>
              <w:pStyle w:val="TableContents"/>
              <w:spacing w:before="0" w:after="283"/>
              <w:rPr>
                <w:sz w:val="4"/>
                <w:szCs w:val="4"/>
              </w:rPr>
            </w:pPr>
            <w:r>
              <w:rPr>
                <w:sz w:val="4"/>
                <w:szCs w:val="4"/>
              </w:rPr>
            </w:r>
          </w:p>
        </w:tc>
      </w:tr>
      <w:tr>
        <w:trPr/>
        <w:tc>
          <w:tcPr>
            <w:tcW w:w="1649"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Other data:</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1,907 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1,180 </w:t>
            </w:r>
          </w:p>
        </w:tc>
        <w:tc>
          <w:tcPr>
            <w:tcW w:w="17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3,391 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644 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78 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7,200 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13" w:type="dxa"/>
            <w:gridSpan w:val="13"/>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1,974 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767 </w:t>
            </w:r>
          </w:p>
        </w:tc>
        <w:tc>
          <w:tcPr>
            <w:tcW w:w="1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1,133 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1,174 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124 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5,172 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13" w:type="dxa"/>
            <w:gridSpan w:val="13"/>
            <w:tcBorders/>
            <w:shd w:fill="auto" w:val="clear"/>
          </w:tcPr>
          <w:p>
            <w:pPr>
              <w:pStyle w:val="TableContents"/>
              <w:spacing w:before="0" w:after="283"/>
              <w:rPr>
                <w:sz w:val="4"/>
                <w:szCs w:val="4"/>
              </w:rPr>
            </w:pPr>
            <w:r>
              <w:rPr>
                <w:sz w:val="4"/>
                <w:szCs w:val="4"/>
              </w:rPr>
            </w:r>
          </w:p>
        </w:tc>
      </w:tr>
      <w:tr>
        <w:trPr/>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81,693 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89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111,270 </w:t>
            </w:r>
          </w:p>
        </w:tc>
        <w:tc>
          <w:tcPr>
            <w:tcW w:w="17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118,143 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57,866 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64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69,392 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w:t>
            </w:r>
          </w:p>
        </w:tc>
        <w:tc>
          <w:tcPr>
            <w:tcW w:w="73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438,364 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13" w:type="dxa"/>
            <w:gridSpan w:val="13"/>
            <w:tcBorders/>
            <w:shd w:fill="auto" w:val="clear"/>
          </w:tcPr>
          <w:p>
            <w:pPr>
              <w:pStyle w:val="TableContents"/>
              <w:spacing w:before="0" w:after="283"/>
              <w:rPr>
                <w:sz w:val="4"/>
                <w:szCs w:val="4"/>
              </w:rPr>
            </w:pPr>
            <w:r>
              <w:rPr>
                <w:sz w:val="4"/>
                <w:szCs w:val="4"/>
              </w:rPr>
            </w:r>
          </w:p>
        </w:tc>
      </w:tr>
      <w:tr>
        <w:trPr/>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13"/>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7. STOCKHOLDERS’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Equity Incentive Plan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The Company’s 2006 Equity Incentive Plan, as amended and restated (the “Equity Incentive Plan”), provides for grants of stock options as well as grants of stock, including restricted stock.</w:t>
      </w:r>
      <w:r>
        <w:rPr>
          <w:color w:val="000000"/>
          <w:highlight w:val="white"/>
        </w:rPr>
        <w:t xml:space="preserve"> </w:t>
      </w:r>
      <w:r>
        <w:rPr>
          <w:rFonts w:ascii="Times New Roman;sans-serif" w:hAnsi="Times New Roman;sans-serif"/>
          <w:b w:val="false"/>
          <w:color w:val="000000"/>
          <w:sz w:val="20"/>
          <w:highlight w:val="white"/>
        </w:rPr>
        <w:t xml:space="preserve">Approximately 3.0 million shares of common stock are authorized for issuance under the Equity Incentive Plan, of which approximately 668,993 shares were available for issuance at June 30, 2020.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Stock Repurchase Program</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In 2015, our Board authorized a stock repurchase program for the purchase from time to time of up to 1.5 million shares of the Company’s common stock, and on May 2, 2019,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26,711 and 224,959 shares, respectively, of our common stock during the three and nine months ended June 30, 2020, in open market transactions at an average price of $20.29 and $22.32, respectively, per share. We repurchased 162,993 and 398,947 shares, respectively, of our common stock during the three and nine months ended June 30, 2019, in open market transactions at an average price of $17.88 and $17.11, respectively, per share.</w:t>
      </w:r>
      <w:r>
        <w:rPr>
          <w:color w:val="000000"/>
          <w:highlight w:val="white"/>
        </w:rPr>
        <w:t xml:space="preserve">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Treasury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During the nine months ended June 30, 2020, we issued 113,408 shares of common stock from treasury stock to employees and repurchased 17,427 shares of common stock from our employees to satisfy statutory tax withholding requirements upon the vesting of certain performance phantom stock units under the Equity Incentive Plan. We also issued 5,225 unrestricted shares of common stock from treasury to members of our Board as part of their overall compensation and 5,750 unrestricted shares to satisfy the exercise of outstanding options. We also repurchased 224,959 shares of common stock on the open market pursuant to our stock repurchase program.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nine months ended June 30, 2019, we issued 212,688 shares of common stock from treasury to employees and repurchased 87,609 shares of common stock from our employees to satisfy statutory tax withholding requirements upon the vesting of certain performance phantom stock units under the Equity Incentive Plan. We also repurchased 398,947 shares of common stock on the open market pursuant to our stock repurchase program. In March 2019, we issued 3,991 shares of treasury stock as payment for outstanding phantom stock units that vested upon the departure of the Company's former President and issued 283,195 shares of treasury stock for restricted shares granted upon the appointment of the Company's Chief Executive Officer.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Restricted Stock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granted 69,338 restricted shares to executives during the nine months ended June 30, 2020. These awards include restricted shares subject to the achievement of specified levels of cumulative net income before taxes, as well as shares that vest based on the passage of time. During the three months ended June 30, 2020, and 2019, we recognized $521 and $333 in compensation expense related to all restricted stock awards, respectively. During the nine months ended June 30, 2020 and 2019, we recognized $1,316 and $443 in compensation expense related to all restricted stock awards, respectively. At June 30, 2020, the unamortized compensation cost related to outstanding unvested restricted stock was $3,398.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Director Phantom Stock Units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Director phantom stock units (“Director PSUs”) are primarily granted to the members of the Board as part of their overall compensation. These Director PSUs are paid via unrestricted stock grants to each director upon their departure from the Board or upon a change of control. We record compensation expense for the full value of the grant on the date of grant. During the three months ended June 30, 2020, and 2019, we recognized $97 and $100, respectively, in compensation expense related to these grants. During the nine months ended June 30, 2020 and 2019 we recognized $293 and $200, respectively, in compensation expense related to these grants.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Performance Based Phantom Stock Units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June 30, 2020 the Company granted Employee PSUs, which, subject to the achievement of certain performance metrics, could result in the issuance of 355,597 shares of common stock, respectively. Of these Employee PSUs, 97,983 Employee PSUs have been forfeited, and 49,678 have vested. At June 30, 2020, a maximum of 207,936 shares of common stock may be issued upon vesting of our outstanding Employee PSUs. During the three months ended June 30, 2020 and 2019, we recognized $505 and $427 in compensation expense, respectively, related to Employee PSU grants. During the nine months ended June 30, 2020 and 2019, we recognized $1,121 and $892 in compensation expense, respectively, related to Employee PSU grants.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8. EMPLOYEE BENEFIT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401(k)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November 1998, we established the IES Holdings, Inc. 401(k) Retirement Savings Plan. All full-time IES employees and full-time employees of participating subsidiaries are eligible to participate on the first day of the month subsequent to completing sixty days of service and attaining age twenty one. Participants become vested in our matching contributions following three years of service. We also maintain several subsidiary retirement savings plans. During the three months ended June 30, 2020 and 2019, we recognized $665 and $538, respectively, in matching expense. During the nine months ended June 30, 2020 and 2019, we recognized $1,747 and $1,561, respectively, in matching expense.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Post Retirement Benefit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Certain individuals at one of the Company’s locations are entitled to receive fixed annual payments pursuant to post retirement benefit plans. We had an unfunded benefit liability of $703 and $738 recorded as of June 30, 2020 and September 30, 2019, respectively, related to such plans.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9. FAIR VALUE MEASUREMENTS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Fair Value Measurement Accounting</w:t>
      </w:r>
    </w:p>
    <w:p>
      <w:pPr>
        <w:pStyle w:val="TextBody"/>
        <w:spacing w:lineRule="auto" w:line="288" w:before="140" w:after="283"/>
        <w:jc w:val="both"/>
        <w:rPr>
          <w:color w:val="000000"/>
          <w:highlight w:val="white"/>
        </w:rPr>
      </w:pPr>
      <w:r>
        <w:rPr>
          <w:color w:val="000000"/>
          <w:highlight w:val="white"/>
        </w:rPr>
        <w:t> </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Fair value is considered the price to sell an asset, or transfer a liability, between market participants on the measurement date. Fair value measurements assume that (1) the asset or liability is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pStyle w:val="TextBody"/>
        <w:spacing w:lineRule="auto" w:line="288" w:before="100" w:after="10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 June 30, 2020,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Financial assets and liabilities measured at fair value on a recurring basis as of June 30, 2020 and September 30, 2019, are summarized in the following tables by the type of inputs applicable to the fair value measurements:</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880"/>
        <w:gridCol w:w="683"/>
        <w:gridCol w:w="688"/>
        <w:gridCol w:w="109"/>
        <w:gridCol w:w="109"/>
        <w:gridCol w:w="109"/>
        <w:gridCol w:w="109"/>
        <w:gridCol w:w="109"/>
        <w:gridCol w:w="109"/>
        <w:gridCol w:w="381"/>
        <w:gridCol w:w="334"/>
        <w:gridCol w:w="451"/>
        <w:gridCol w:w="109"/>
        <w:gridCol w:w="109"/>
        <w:gridCol w:w="109"/>
        <w:gridCol w:w="109"/>
        <w:gridCol w:w="109"/>
        <w:gridCol w:w="109"/>
        <w:gridCol w:w="480"/>
        <w:gridCol w:w="459"/>
        <w:gridCol w:w="617"/>
        <w:gridCol w:w="109"/>
        <w:gridCol w:w="109"/>
        <w:gridCol w:w="109"/>
        <w:gridCol w:w="109"/>
        <w:gridCol w:w="109"/>
        <w:gridCol w:w="109"/>
        <w:gridCol w:w="801"/>
        <w:gridCol w:w="801"/>
        <w:gridCol w:w="1078"/>
        <w:gridCol w:w="109"/>
        <w:gridCol w:w="109"/>
        <w:gridCol w:w="109"/>
        <w:gridCol w:w="109"/>
        <w:gridCol w:w="109"/>
        <w:gridCol w:w="109"/>
        <w:gridCol w:w="109"/>
        <w:gridCol w:w="161"/>
      </w:tblGrid>
      <w:tr>
        <w:trPr/>
        <w:tc>
          <w:tcPr>
            <w:tcW w:w="880"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27"/>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30, 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Quoted Prices (Level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Significant Unobservable Inputs (Level 3)</w:t>
            </w:r>
          </w:p>
        </w:tc>
        <w:tc>
          <w:tcPr>
            <w:tcW w:w="924" w:type="dxa"/>
            <w:gridSpan w:val="8"/>
            <w:tcBorders/>
            <w:shd w:fill="auto" w:val="clear"/>
          </w:tcPr>
          <w:p>
            <w:pPr>
              <w:pStyle w:val="TableContents"/>
              <w:spacing w:before="0" w:after="283"/>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Executive savings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817 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817 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24" w:type="dxa"/>
            <w:gridSpan w:val="8"/>
            <w:tcBorders/>
            <w:shd w:fill="auto" w:val="clear"/>
          </w:tcPr>
          <w:p>
            <w:pPr>
              <w:pStyle w:val="TableContents"/>
              <w:spacing w:before="0" w:after="283"/>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Executive savings plan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(699)</w:t>
            </w:r>
          </w:p>
        </w:tc>
        <w:tc>
          <w:tcPr>
            <w:tcW w:w="45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(699)</w:t>
            </w:r>
          </w:p>
        </w:tc>
        <w:tc>
          <w:tcPr>
            <w:tcW w:w="617"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24" w:type="dxa"/>
            <w:gridSpan w:val="8"/>
            <w:tcBorders/>
            <w:shd w:fill="auto" w:val="clear"/>
          </w:tcPr>
          <w:p>
            <w:pPr>
              <w:pStyle w:val="TableContents"/>
              <w:spacing w:before="0" w:after="283"/>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w:t>
            </w:r>
          </w:p>
        </w:tc>
        <w:tc>
          <w:tcPr>
            <w:tcW w:w="45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17"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w:t>
            </w:r>
          </w:p>
        </w:tc>
        <w:tc>
          <w:tcPr>
            <w:tcW w:w="107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24" w:type="dxa"/>
            <w:gridSpan w:val="8"/>
            <w:tcBorders/>
            <w:shd w:fill="auto" w:val="clear"/>
          </w:tcPr>
          <w:p>
            <w:pPr>
              <w:pStyle w:val="TableContents"/>
              <w:spacing w:before="0" w:after="283"/>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107 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118 </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6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924" w:type="dxa"/>
            <w:gridSpan w:val="8"/>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880"/>
        <w:gridCol w:w="683"/>
        <w:gridCol w:w="688"/>
        <w:gridCol w:w="109"/>
        <w:gridCol w:w="109"/>
        <w:gridCol w:w="109"/>
        <w:gridCol w:w="109"/>
        <w:gridCol w:w="109"/>
        <w:gridCol w:w="109"/>
        <w:gridCol w:w="381"/>
        <w:gridCol w:w="334"/>
        <w:gridCol w:w="451"/>
        <w:gridCol w:w="109"/>
        <w:gridCol w:w="109"/>
        <w:gridCol w:w="109"/>
        <w:gridCol w:w="109"/>
        <w:gridCol w:w="109"/>
        <w:gridCol w:w="109"/>
        <w:gridCol w:w="480"/>
        <w:gridCol w:w="459"/>
        <w:gridCol w:w="617"/>
        <w:gridCol w:w="109"/>
        <w:gridCol w:w="109"/>
        <w:gridCol w:w="109"/>
        <w:gridCol w:w="109"/>
        <w:gridCol w:w="109"/>
        <w:gridCol w:w="109"/>
        <w:gridCol w:w="801"/>
        <w:gridCol w:w="801"/>
        <w:gridCol w:w="1078"/>
        <w:gridCol w:w="109"/>
        <w:gridCol w:w="109"/>
        <w:gridCol w:w="109"/>
        <w:gridCol w:w="109"/>
        <w:gridCol w:w="109"/>
        <w:gridCol w:w="109"/>
        <w:gridCol w:w="109"/>
        <w:gridCol w:w="161"/>
      </w:tblGrid>
      <w:tr>
        <w:trPr/>
        <w:tc>
          <w:tcPr>
            <w:tcW w:w="880"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27"/>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September 30, 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Quoted Prices (Level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Significant Unobservable Inputs (Level 3)</w:t>
            </w:r>
          </w:p>
        </w:tc>
        <w:tc>
          <w:tcPr>
            <w:tcW w:w="924" w:type="dxa"/>
            <w:gridSpan w:val="8"/>
            <w:tcBorders/>
            <w:shd w:fill="auto" w:val="clear"/>
          </w:tcPr>
          <w:p>
            <w:pPr>
              <w:pStyle w:val="TableContents"/>
              <w:spacing w:before="0" w:after="283"/>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Executive savings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763 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763 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24" w:type="dxa"/>
            <w:gridSpan w:val="8"/>
            <w:tcBorders/>
            <w:shd w:fill="auto" w:val="clear"/>
          </w:tcPr>
          <w:p>
            <w:pPr>
              <w:pStyle w:val="TableContents"/>
              <w:spacing w:before="0" w:after="283"/>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Executive savings plan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(646)</w:t>
            </w:r>
          </w:p>
        </w:tc>
        <w:tc>
          <w:tcPr>
            <w:tcW w:w="45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(646)</w:t>
            </w:r>
          </w:p>
        </w:tc>
        <w:tc>
          <w:tcPr>
            <w:tcW w:w="617"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24" w:type="dxa"/>
            <w:gridSpan w:val="8"/>
            <w:tcBorders/>
            <w:shd w:fill="auto" w:val="clear"/>
          </w:tcPr>
          <w:p>
            <w:pPr>
              <w:pStyle w:val="TableContents"/>
              <w:spacing w:before="0" w:after="283"/>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w:t>
            </w:r>
          </w:p>
        </w:tc>
        <w:tc>
          <w:tcPr>
            <w:tcW w:w="45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17"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w:t>
            </w:r>
          </w:p>
        </w:tc>
        <w:tc>
          <w:tcPr>
            <w:tcW w:w="107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24" w:type="dxa"/>
            <w:gridSpan w:val="8"/>
            <w:tcBorders/>
            <w:shd w:fill="auto" w:val="clear"/>
          </w:tcPr>
          <w:p>
            <w:pPr>
              <w:pStyle w:val="TableContents"/>
              <w:spacing w:before="0" w:after="283"/>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106 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117 </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6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924" w:type="dxa"/>
            <w:gridSpan w:val="8"/>
            <w:tcBorders/>
            <w:shd w:fill="auto" w:val="clea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fiscal years 2016, 2017 and 2018, we entered into contingent consideration arrangements related to certain acquisitions. At June 30, 2020, we estimated the fair value of these contingent consideration liabilities at $11. The table below presents a reconciliation of the fair value of these obligations, which used significant unobservable inputs (Level 3).</w:t>
      </w:r>
    </w:p>
    <w:p>
      <w:pPr>
        <w:pStyle w:val="TextBody"/>
        <w:spacing w:before="0" w:after="0"/>
        <w:rPr/>
      </w:pPr>
      <w:r>
        <w:rPr/>
      </w:r>
    </w:p>
    <w:tbl>
      <w:tblPr>
        <w:tblW w:w="6728" w:type="dxa"/>
        <w:jc w:val="center"/>
        <w:tblInd w:w="0" w:type="dxa"/>
        <w:tblCellMar>
          <w:top w:w="28" w:type="dxa"/>
          <w:left w:w="28" w:type="dxa"/>
          <w:bottom w:w="28" w:type="dxa"/>
          <w:right w:w="28" w:type="dxa"/>
        </w:tblCellMar>
      </w:tblPr>
      <w:tblGrid>
        <w:gridCol w:w="1009"/>
        <w:gridCol w:w="889"/>
        <w:gridCol w:w="892"/>
        <w:gridCol w:w="109"/>
        <w:gridCol w:w="109"/>
        <w:gridCol w:w="109"/>
        <w:gridCol w:w="109"/>
        <w:gridCol w:w="109"/>
        <w:gridCol w:w="109"/>
        <w:gridCol w:w="875"/>
        <w:gridCol w:w="875"/>
        <w:gridCol w:w="1534"/>
      </w:tblGrid>
      <w:tr>
        <w:trPr/>
        <w:tc>
          <w:tcPr>
            <w:tcW w:w="10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Contingent Consideration Agreements</w:t>
            </w:r>
          </w:p>
        </w:tc>
      </w:tr>
      <w:tr>
        <w:trPr/>
        <w:tc>
          <w:tcPr>
            <w:tcW w:w="279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Fair value at September 30,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11 </w:t>
            </w:r>
          </w:p>
        </w:tc>
        <w:tc>
          <w:tcPr>
            <w:tcW w:w="15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79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Settlements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53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79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adjustments to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534"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790"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Fair value at June 30,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11 </w:t>
            </w:r>
          </w:p>
        </w:tc>
        <w:tc>
          <w:tcPr>
            <w:tcW w:w="1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4"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10. INVENTORY</w:t>
      </w:r>
    </w:p>
    <w:p>
      <w:pPr>
        <w:pStyle w:val="TextBody"/>
        <w:spacing w:before="0" w:after="0"/>
        <w:jc w:val="both"/>
        <w:rPr/>
      </w:pPr>
      <w:r>
        <w:rPr/>
      </w:r>
    </w:p>
    <w:p>
      <w:pPr>
        <w:pStyle w:val="TextBody"/>
        <w:spacing w:lineRule="auto" w:line="288" w:before="0" w:after="0"/>
        <w:jc w:val="both"/>
        <w:rPr>
          <w:color w:val="000000"/>
          <w:highlight w:val="white"/>
        </w:rPr>
      </w:pPr>
      <w:r>
        <w:rPr>
          <w:color w:val="000000"/>
          <w:highlight w:val="white"/>
        </w:rPr>
        <w:t>  </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Inventories consist of the following components:</w:t>
      </w:r>
    </w:p>
    <w:p>
      <w:pPr>
        <w:pStyle w:val="TextBody"/>
        <w:spacing w:before="0" w:after="0"/>
        <w:jc w:val="center"/>
        <w:rPr/>
      </w:pPr>
      <w:r>
        <w:rPr/>
      </w:r>
    </w:p>
    <w:tbl>
      <w:tblPr>
        <w:tblW w:w="5622" w:type="dxa"/>
        <w:jc w:val="center"/>
        <w:tblInd w:w="0" w:type="dxa"/>
        <w:tblCellMar>
          <w:top w:w="28" w:type="dxa"/>
          <w:left w:w="28" w:type="dxa"/>
          <w:bottom w:w="28" w:type="dxa"/>
          <w:right w:w="28" w:type="dxa"/>
        </w:tblCellMar>
      </w:tblPr>
      <w:tblGrid>
        <w:gridCol w:w="291"/>
        <w:gridCol w:w="255"/>
        <w:gridCol w:w="255"/>
        <w:gridCol w:w="255"/>
        <w:gridCol w:w="255"/>
        <w:gridCol w:w="262"/>
        <w:gridCol w:w="130"/>
        <w:gridCol w:w="130"/>
        <w:gridCol w:w="130"/>
        <w:gridCol w:w="130"/>
        <w:gridCol w:w="130"/>
        <w:gridCol w:w="130"/>
        <w:gridCol w:w="360"/>
        <w:gridCol w:w="361"/>
        <w:gridCol w:w="146"/>
        <w:gridCol w:w="109"/>
        <w:gridCol w:w="109"/>
        <w:gridCol w:w="109"/>
        <w:gridCol w:w="276"/>
        <w:gridCol w:w="276"/>
        <w:gridCol w:w="276"/>
        <w:gridCol w:w="721"/>
        <w:gridCol w:w="372"/>
        <w:gridCol w:w="154"/>
      </w:tblGrid>
      <w:tr>
        <w:trPr/>
        <w:tc>
          <w:tcPr>
            <w:tcW w:w="29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3" w:type="dxa"/>
            <w:gridSpan w:val="2"/>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30,</w:t>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5"/>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September 30,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5"/>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Raw materials</w:t>
            </w:r>
          </w:p>
        </w:tc>
        <w:tc>
          <w:tcPr>
            <w:tcW w:w="390"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3,937 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4,104 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54" w:type="dxa"/>
            <w:tcBorders/>
            <w:shd w:fill="auto" w:val="clear"/>
          </w:tcPr>
          <w:p>
            <w:pPr>
              <w:pStyle w:val="TableContents"/>
              <w:spacing w:before="0" w:after="283"/>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Work in process</w:t>
            </w:r>
          </w:p>
        </w:tc>
        <w:tc>
          <w:tcPr>
            <w:tcW w:w="390"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6,713 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6,301 </w:t>
            </w:r>
          </w:p>
        </w:tc>
        <w:tc>
          <w:tcPr>
            <w:tcW w:w="372"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54" w:type="dxa"/>
            <w:tcBorders/>
            <w:shd w:fill="auto" w:val="clear"/>
          </w:tcPr>
          <w:p>
            <w:pPr>
              <w:pStyle w:val="TableContents"/>
              <w:spacing w:before="0" w:after="283"/>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Finished goods</w:t>
            </w:r>
          </w:p>
        </w:tc>
        <w:tc>
          <w:tcPr>
            <w:tcW w:w="390"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1,376 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1,861 </w:t>
            </w:r>
          </w:p>
        </w:tc>
        <w:tc>
          <w:tcPr>
            <w:tcW w:w="372"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54" w:type="dxa"/>
            <w:tcBorders/>
            <w:shd w:fill="auto" w:val="clear"/>
          </w:tcPr>
          <w:p>
            <w:pPr>
              <w:pStyle w:val="TableContents"/>
              <w:spacing w:before="0" w:after="283"/>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Parts and supplies</w:t>
            </w:r>
          </w:p>
        </w:tc>
        <w:tc>
          <w:tcPr>
            <w:tcW w:w="390"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13,317 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9,277 </w:t>
            </w:r>
          </w:p>
        </w:tc>
        <w:tc>
          <w:tcPr>
            <w:tcW w:w="372"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54" w:type="dxa"/>
            <w:tcBorders/>
            <w:shd w:fill="auto" w:val="clear"/>
          </w:tcPr>
          <w:p>
            <w:pPr>
              <w:pStyle w:val="TableContents"/>
              <w:spacing w:before="0" w:after="283"/>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inventories</w:t>
            </w:r>
          </w:p>
        </w:tc>
        <w:tc>
          <w:tcPr>
            <w:tcW w:w="390"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25,343 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21,543 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154" w:type="dxa"/>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11. GOODWILL AND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summarizes changes in the carrying value of goodwill by segment for the nine months ended June 30, 2020:</w:t>
      </w:r>
    </w:p>
    <w:p>
      <w:pPr>
        <w:pStyle w:val="TextBody"/>
        <w:spacing w:before="0" w:after="0"/>
        <w:jc w:val="center"/>
        <w:rPr/>
      </w:pPr>
      <w:r>
        <w:rPr/>
      </w:r>
    </w:p>
    <w:tbl>
      <w:tblPr>
        <w:tblW w:w="11722" w:type="dxa"/>
        <w:jc w:val="center"/>
        <w:tblInd w:w="0" w:type="dxa"/>
        <w:tblCellMar>
          <w:top w:w="28" w:type="dxa"/>
          <w:left w:w="28" w:type="dxa"/>
          <w:bottom w:w="28" w:type="dxa"/>
          <w:right w:w="28" w:type="dxa"/>
        </w:tblCellMar>
      </w:tblPr>
      <w:tblGrid>
        <w:gridCol w:w="533"/>
        <w:gridCol w:w="311"/>
        <w:gridCol w:w="312"/>
        <w:gridCol w:w="109"/>
        <w:gridCol w:w="109"/>
        <w:gridCol w:w="109"/>
        <w:gridCol w:w="172"/>
        <w:gridCol w:w="172"/>
        <w:gridCol w:w="172"/>
        <w:gridCol w:w="332"/>
        <w:gridCol w:w="284"/>
        <w:gridCol w:w="236"/>
        <w:gridCol w:w="109"/>
        <w:gridCol w:w="109"/>
        <w:gridCol w:w="109"/>
        <w:gridCol w:w="109"/>
        <w:gridCol w:w="109"/>
        <w:gridCol w:w="109"/>
        <w:gridCol w:w="109"/>
        <w:gridCol w:w="109"/>
        <w:gridCol w:w="109"/>
        <w:gridCol w:w="308"/>
        <w:gridCol w:w="308"/>
        <w:gridCol w:w="317"/>
        <w:gridCol w:w="236"/>
        <w:gridCol w:w="236"/>
        <w:gridCol w:w="240"/>
        <w:gridCol w:w="109"/>
        <w:gridCol w:w="109"/>
        <w:gridCol w:w="109"/>
        <w:gridCol w:w="360"/>
        <w:gridCol w:w="361"/>
        <w:gridCol w:w="146"/>
        <w:gridCol w:w="197"/>
        <w:gridCol w:w="197"/>
        <w:gridCol w:w="197"/>
        <w:gridCol w:w="197"/>
        <w:gridCol w:w="197"/>
        <w:gridCol w:w="201"/>
        <w:gridCol w:w="109"/>
        <w:gridCol w:w="109"/>
        <w:gridCol w:w="109"/>
        <w:gridCol w:w="360"/>
        <w:gridCol w:w="361"/>
        <w:gridCol w:w="146"/>
        <w:gridCol w:w="109"/>
        <w:gridCol w:w="109"/>
        <w:gridCol w:w="109"/>
        <w:gridCol w:w="163"/>
        <w:gridCol w:w="163"/>
        <w:gridCol w:w="163"/>
        <w:gridCol w:w="360"/>
        <w:gridCol w:w="361"/>
        <w:gridCol w:w="221"/>
        <w:gridCol w:w="109"/>
        <w:gridCol w:w="109"/>
        <w:gridCol w:w="541"/>
        <w:gridCol w:w="154"/>
      </w:tblGrid>
      <w:tr>
        <w:trPr/>
        <w:tc>
          <w:tcPr>
            <w:tcW w:w="53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541"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Commercial &amp; Industrial</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5"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Communications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Infrastructure Solutions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Residential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Goodwill at September 30,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6,976 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2,816 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30,812 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50,622 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3" w:type="dxa"/>
            <w:gridSpan w:val="4"/>
            <w:tcBorders/>
            <w:shd w:fill="auto" w:val="clea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3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7"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3,916 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5,946 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9,862 </w:t>
            </w:r>
          </w:p>
        </w:tc>
        <w:tc>
          <w:tcPr>
            <w:tcW w:w="22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3" w:type="dxa"/>
            <w:gridSpan w:val="4"/>
            <w:tcBorders/>
            <w:shd w:fill="auto" w:val="clea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Divestitures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3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7"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3" w:type="dxa"/>
            <w:gridSpan w:val="4"/>
            <w:tcBorders/>
            <w:shd w:fill="auto" w:val="clea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3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17"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2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3" w:type="dxa"/>
            <w:gridSpan w:val="4"/>
            <w:tcBorders/>
            <w:shd w:fill="auto" w:val="clea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Goodwill at June 30,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6,976 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2,816 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34,728 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15,964 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60,484 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913" w:type="dxa"/>
            <w:gridSpan w:val="4"/>
            <w:tcBorders/>
            <w:shd w:fill="auto" w:val="clea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9"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913" w:type="dxa"/>
            <w:gridSpan w:val="4"/>
            <w:tcBorders/>
            <w:shd w:fill="auto" w:val="clea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5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9"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913" w:type="dxa"/>
            <w:gridSpan w:val="4"/>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a result of recent operating losses within our Commercial and Industrial business, we determined that an indicator of a potential goodwill impairment was present. As a result of this indicator, we performed a quantitative goodwill impairment assessment as of March 31, 2020. Based on the results of this assessment, we concluded that the fair value of our Commercial and Industrial reporting unit remains in excess of its carrying value, and therefore, we did not record an impairment charge. Our estimate of implied fair value requires us to use significant unobservable inputs, representative of Level 3 fair value measurements, including numerous assumptions with respect to future circumstances, such as industry and/or local market conditions, including the impact of COVID-19 on our business, that might directly impact the future performance of our business, and are therefore uncertain.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June 30, 2020, it is reasonably possible that judgments and estimates of certain key assumptions, including our internal forecasts or the external market conditions, could change in future periods and may result in a reduction in fair value. Significant adverse changes in future periods to these key assumptions, if any, could reasonably be expected to negatively affect our estimate of implied fair value, and may result in future goodwill impairment charges.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w:t>
                      </w:r>
                    </w:p>
                  </w:txbxContent>
                </v:textbox>
              </v:rect>
            </w:pict>
          </mc:Fallback>
        </mc:AlternateContent>
      </w:r>
    </w:p>
    <w:p>
      <w:pPr>
        <w:pStyle w:val="TextBody"/>
        <w:spacing w:before="0" w:after="0"/>
        <w:rPr/>
      </w:pPr>
      <w:r>
        <w:rPr/>
      </w:r>
    </w:p>
    <w:p>
      <w:pPr>
        <w:pStyle w:val="TextBody"/>
        <w:spacing w:lineRule="auto" w:line="256"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Intangible assets consist of the following:</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435"/>
        <w:gridCol w:w="383"/>
        <w:gridCol w:w="313"/>
        <w:gridCol w:w="273"/>
        <w:gridCol w:w="273"/>
        <w:gridCol w:w="277"/>
        <w:gridCol w:w="109"/>
        <w:gridCol w:w="109"/>
        <w:gridCol w:w="109"/>
        <w:gridCol w:w="491"/>
        <w:gridCol w:w="491"/>
        <w:gridCol w:w="493"/>
        <w:gridCol w:w="124"/>
        <w:gridCol w:w="124"/>
        <w:gridCol w:w="124"/>
        <w:gridCol w:w="109"/>
        <w:gridCol w:w="109"/>
        <w:gridCol w:w="109"/>
        <w:gridCol w:w="109"/>
        <w:gridCol w:w="109"/>
        <w:gridCol w:w="109"/>
        <w:gridCol w:w="512"/>
        <w:gridCol w:w="353"/>
        <w:gridCol w:w="475"/>
        <w:gridCol w:w="109"/>
        <w:gridCol w:w="109"/>
        <w:gridCol w:w="109"/>
        <w:gridCol w:w="109"/>
        <w:gridCol w:w="109"/>
        <w:gridCol w:w="109"/>
        <w:gridCol w:w="472"/>
        <w:gridCol w:w="454"/>
        <w:gridCol w:w="609"/>
        <w:gridCol w:w="109"/>
        <w:gridCol w:w="109"/>
        <w:gridCol w:w="109"/>
        <w:gridCol w:w="109"/>
        <w:gridCol w:w="109"/>
        <w:gridCol w:w="109"/>
        <w:gridCol w:w="721"/>
        <w:gridCol w:w="146"/>
        <w:gridCol w:w="109"/>
        <w:gridCol w:w="109"/>
        <w:gridCol w:w="109"/>
        <w:gridCol w:w="109"/>
        <w:gridCol w:w="109"/>
        <w:gridCol w:w="162"/>
      </w:tblGrid>
      <w:tr>
        <w:trPr/>
        <w:tc>
          <w:tcPr>
            <w:tcW w:w="43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7" w:type="dxa"/>
            <w:gridSpan w:val="2"/>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62" w:type="dxa"/>
            <w:tcBorders/>
            <w:shd w:fill="auto" w:val="clear"/>
          </w:tcPr>
          <w:p>
            <w:pPr>
              <w:pStyle w:val="TableContents"/>
              <w:spacing w:before="0" w:after="283"/>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vMerge w:val="restart"/>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Estimated Useful Lives (in Years)</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7" w:type="dxa"/>
            <w:gridSpan w:val="24"/>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30, 2020</w:t>
            </w:r>
          </w:p>
        </w:tc>
        <w:tc>
          <w:tcPr>
            <w:tcW w:w="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vMerge w:val="continue"/>
            <w:tcBorders/>
            <w:shd w:fill="FFFFFF" w:val="clear"/>
            <w:tcMar>
              <w:top w:w="0" w:type="dxa"/>
              <w:left w:w="0" w:type="dxa"/>
              <w:bottom w:w="0" w:type="dxa"/>
              <w:right w:w="0" w:type="dxa"/>
            </w:tcMar>
            <w:vAlign w:val="center"/>
          </w:tcPr>
          <w:p>
            <w:pPr>
              <w:pStyle w:val="Normal"/>
              <w:rPr/>
            </w:pPr>
            <w:r>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5"/>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w:t>
            </w:r>
          </w:p>
        </w:tc>
        <w:tc>
          <w:tcPr>
            <w:tcW w:w="109" w:type="dxa"/>
            <w:tcBorders/>
            <w:shd w:fill="auto" w:val="clear"/>
            <w:vAlign w:val="center"/>
          </w:tcPr>
          <w:p>
            <w:pPr>
              <w:pStyle w:val="TableContents"/>
              <w:spacing w:before="0" w:after="283"/>
              <w:rPr>
                <w:sz w:val="4"/>
                <w:szCs w:val="4"/>
              </w:rPr>
            </w:pPr>
            <w:r>
              <w:rPr>
                <w:sz w:val="4"/>
                <w:szCs w:val="4"/>
              </w:rPr>
            </w:r>
          </w:p>
        </w:tc>
        <w:tc>
          <w:tcPr>
            <w:tcW w:w="598" w:type="dxa"/>
            <w:gridSpan w:val="5"/>
            <w:tcBorders/>
            <w:shd w:fill="auto" w:val="clear"/>
          </w:tcPr>
          <w:p>
            <w:pPr>
              <w:pStyle w:val="TableContents"/>
              <w:spacing w:before="0" w:after="283"/>
              <w:rPr>
                <w:sz w:val="4"/>
                <w:szCs w:val="4"/>
              </w:rPr>
            </w:pPr>
            <w:r>
              <w:rPr>
                <w:sz w:val="4"/>
                <w:szCs w:val="4"/>
              </w:rPr>
            </w:r>
          </w:p>
        </w:tc>
      </w:tr>
      <w:tr>
        <w:trPr/>
        <w:tc>
          <w:tcPr>
            <w:tcW w:w="1954"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Trademarks/trade names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7,754 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(1,593)</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6,161 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r>
        <w:trPr/>
        <w:tc>
          <w:tcPr>
            <w:tcW w:w="1954"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Technical library</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400 </w:t>
            </w:r>
          </w:p>
        </w:tc>
        <w:tc>
          <w:tcPr>
            <w:tcW w:w="475"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(136)</w:t>
            </w:r>
          </w:p>
        </w:tc>
        <w:tc>
          <w:tcPr>
            <w:tcW w:w="609"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r>
        <w:trPr/>
        <w:tc>
          <w:tcPr>
            <w:tcW w:w="1954"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Customer relationships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46,269 </w:t>
            </w:r>
          </w:p>
        </w:tc>
        <w:tc>
          <w:tcPr>
            <w:tcW w:w="475"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(13,797)</w:t>
            </w:r>
          </w:p>
        </w:tc>
        <w:tc>
          <w:tcPr>
            <w:tcW w:w="60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32,472 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r>
        <w:trPr/>
        <w:tc>
          <w:tcPr>
            <w:tcW w:w="1954"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Non-competition arrangements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1,300 </w:t>
            </w:r>
          </w:p>
        </w:tc>
        <w:tc>
          <w:tcPr>
            <w:tcW w:w="475"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(59)</w:t>
            </w:r>
          </w:p>
        </w:tc>
        <w:tc>
          <w:tcPr>
            <w:tcW w:w="609"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1,241 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r>
        <w:trPr/>
        <w:tc>
          <w:tcPr>
            <w:tcW w:w="1954"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Backlog and construction contracts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3,063 </w:t>
            </w:r>
          </w:p>
        </w:tc>
        <w:tc>
          <w:tcPr>
            <w:tcW w:w="475"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(1,009)</w:t>
            </w:r>
          </w:p>
        </w:tc>
        <w:tc>
          <w:tcPr>
            <w:tcW w:w="60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2,054 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r>
        <w:trPr/>
        <w:tc>
          <w:tcPr>
            <w:tcW w:w="1954"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intangible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58,786 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(16,594)</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42,192 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bl>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435"/>
        <w:gridCol w:w="383"/>
        <w:gridCol w:w="313"/>
        <w:gridCol w:w="273"/>
        <w:gridCol w:w="273"/>
        <w:gridCol w:w="277"/>
        <w:gridCol w:w="109"/>
        <w:gridCol w:w="109"/>
        <w:gridCol w:w="109"/>
        <w:gridCol w:w="491"/>
        <w:gridCol w:w="491"/>
        <w:gridCol w:w="493"/>
        <w:gridCol w:w="124"/>
        <w:gridCol w:w="124"/>
        <w:gridCol w:w="124"/>
        <w:gridCol w:w="109"/>
        <w:gridCol w:w="109"/>
        <w:gridCol w:w="109"/>
        <w:gridCol w:w="109"/>
        <w:gridCol w:w="109"/>
        <w:gridCol w:w="109"/>
        <w:gridCol w:w="512"/>
        <w:gridCol w:w="353"/>
        <w:gridCol w:w="475"/>
        <w:gridCol w:w="109"/>
        <w:gridCol w:w="109"/>
        <w:gridCol w:w="109"/>
        <w:gridCol w:w="109"/>
        <w:gridCol w:w="109"/>
        <w:gridCol w:w="109"/>
        <w:gridCol w:w="472"/>
        <w:gridCol w:w="454"/>
        <w:gridCol w:w="609"/>
        <w:gridCol w:w="109"/>
        <w:gridCol w:w="109"/>
        <w:gridCol w:w="109"/>
        <w:gridCol w:w="109"/>
        <w:gridCol w:w="109"/>
        <w:gridCol w:w="109"/>
        <w:gridCol w:w="721"/>
        <w:gridCol w:w="146"/>
        <w:gridCol w:w="109"/>
        <w:gridCol w:w="109"/>
        <w:gridCol w:w="109"/>
        <w:gridCol w:w="109"/>
        <w:gridCol w:w="109"/>
        <w:gridCol w:w="162"/>
      </w:tblGrid>
      <w:tr>
        <w:trPr/>
        <w:tc>
          <w:tcPr>
            <w:tcW w:w="43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7" w:type="dxa"/>
            <w:gridSpan w:val="2"/>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62" w:type="dxa"/>
            <w:tcBorders/>
            <w:shd w:fill="auto" w:val="clear"/>
          </w:tcPr>
          <w:p>
            <w:pPr>
              <w:pStyle w:val="TableContents"/>
              <w:spacing w:before="0" w:after="283"/>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vMerge w:val="restart"/>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Estimated Useful Lives (in Years)</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7" w:type="dxa"/>
            <w:gridSpan w:val="24"/>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September 30, 2019</w:t>
            </w:r>
          </w:p>
        </w:tc>
        <w:tc>
          <w:tcPr>
            <w:tcW w:w="867" w:type="dxa"/>
            <w:gridSpan w:val="2"/>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vMerge w:val="continue"/>
            <w:tcBorders/>
            <w:shd w:fill="FFFFFF" w:val="clear"/>
            <w:tcMar>
              <w:top w:w="0" w:type="dxa"/>
              <w:left w:w="0" w:type="dxa"/>
              <w:bottom w:w="0" w:type="dxa"/>
              <w:right w:w="0" w:type="dxa"/>
            </w:tcMar>
            <w:vAlign w:val="center"/>
          </w:tcPr>
          <w:p>
            <w:pPr>
              <w:pStyle w:val="Normal"/>
              <w:rPr/>
            </w:pPr>
            <w:r>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5"/>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w:t>
            </w:r>
          </w:p>
        </w:tc>
        <w:tc>
          <w:tcPr>
            <w:tcW w:w="109" w:type="dxa"/>
            <w:tcBorders/>
            <w:shd w:fill="auto" w:val="clear"/>
            <w:vAlign w:val="center"/>
          </w:tcPr>
          <w:p>
            <w:pPr>
              <w:pStyle w:val="TableContents"/>
              <w:spacing w:before="0" w:after="283"/>
              <w:rPr>
                <w:sz w:val="4"/>
                <w:szCs w:val="4"/>
              </w:rPr>
            </w:pPr>
            <w:r>
              <w:rPr>
                <w:sz w:val="4"/>
                <w:szCs w:val="4"/>
              </w:rPr>
            </w:r>
          </w:p>
        </w:tc>
        <w:tc>
          <w:tcPr>
            <w:tcW w:w="598" w:type="dxa"/>
            <w:gridSpan w:val="5"/>
            <w:tcBorders/>
            <w:shd w:fill="auto" w:val="clear"/>
          </w:tcPr>
          <w:p>
            <w:pPr>
              <w:pStyle w:val="TableContents"/>
              <w:spacing w:before="0" w:after="283"/>
              <w:rPr>
                <w:sz w:val="4"/>
                <w:szCs w:val="4"/>
              </w:rPr>
            </w:pPr>
            <w:r>
              <w:rPr>
                <w:sz w:val="4"/>
                <w:szCs w:val="4"/>
              </w:rPr>
            </w:r>
          </w:p>
        </w:tc>
      </w:tr>
      <w:tr>
        <w:trPr/>
        <w:tc>
          <w:tcPr>
            <w:tcW w:w="1954"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Trademarks/trade names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5,084 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(1,267)</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3,817 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r>
        <w:trPr/>
        <w:tc>
          <w:tcPr>
            <w:tcW w:w="1954"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Technical library</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400 </w:t>
            </w:r>
          </w:p>
        </w:tc>
        <w:tc>
          <w:tcPr>
            <w:tcW w:w="475"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(121)</w:t>
            </w:r>
          </w:p>
        </w:tc>
        <w:tc>
          <w:tcPr>
            <w:tcW w:w="609"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r>
        <w:trPr/>
        <w:tc>
          <w:tcPr>
            <w:tcW w:w="1954"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Customer relationships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33,539 </w:t>
            </w:r>
          </w:p>
        </w:tc>
        <w:tc>
          <w:tcPr>
            <w:tcW w:w="475"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(11,051)</w:t>
            </w:r>
          </w:p>
        </w:tc>
        <w:tc>
          <w:tcPr>
            <w:tcW w:w="60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22,488 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r>
        <w:trPr/>
        <w:tc>
          <w:tcPr>
            <w:tcW w:w="1954"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Non-competition arrangements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40 </w:t>
            </w:r>
          </w:p>
        </w:tc>
        <w:tc>
          <w:tcPr>
            <w:tcW w:w="475"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w:t>
            </w:r>
          </w:p>
        </w:tc>
        <w:tc>
          <w:tcPr>
            <w:tcW w:w="609"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r>
        <w:trPr/>
        <w:tc>
          <w:tcPr>
            <w:tcW w:w="1954"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Backlog and construction contracts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599 </w:t>
            </w:r>
          </w:p>
        </w:tc>
        <w:tc>
          <w:tcPr>
            <w:tcW w:w="475"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(591)</w:t>
            </w:r>
          </w:p>
        </w:tc>
        <w:tc>
          <w:tcPr>
            <w:tcW w:w="609"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r>
        <w:trPr/>
        <w:tc>
          <w:tcPr>
            <w:tcW w:w="1954"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intangible assets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39,662 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(13,039)</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26,623 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707" w:type="dxa"/>
            <w:gridSpan w:val="6"/>
            <w:tcBorders/>
            <w:shd w:fill="auto" w:val="clea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weighted average useful life of our intangible assets at June 30, 2020 was 10.4 years.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12.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Legal Matters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Risk-Management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June 30, 2020 and September 30, 2019, we had $6,238 and $6,683, respectively, accrued for self-insurance liabilities. We are also subject to construction defect liabilities, primarily within our Residential segment. As of June 30, 2020 and September 30, 2019, we had $34 and $90,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June 30, 2020 and September 30, 2019, $6,762 and $6,268, respectively, of our outstanding letters of credit were utilized to collateralize our insurance program.</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Surety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June 30, 2020, the estimated cost to complete our bonded projects was approximately $101,229. We evaluate our bonding requirements on a regular basis, including the terms offered by our sureties. We believe the bonding capacity provided by our current sureties is adequate for our current operations and will be adequate for our operations for the foreseeable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Other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each of June 30, 2020 and September 30, 2019, $200 of our outstanding letters of credit were to collateralize our vendors.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2020, we had no such material commitments.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13.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enter into various contractual arrangements for the right to use facilities, vehicles and equipment.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Current operating and finance liabilities of $10,752 and $287, respectively, were included in "Accounts payable and accrued expenses" in the Condensed Consolidated Balance Sheets as of June 30, 2020. Non-current finance lease liabilities and finance lease right-of-use assets were included in the "Other non-current liabilities" and "Other non-current assets", respectively, in the Condensed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maturities of our lease liabilities as of June 30, 2020 are as follows:</w:t>
      </w:r>
    </w:p>
    <w:tbl>
      <w:tblPr>
        <w:tblW w:w="7595" w:type="dxa"/>
        <w:jc w:val="center"/>
        <w:tblInd w:w="0" w:type="dxa"/>
        <w:tblCellMar>
          <w:top w:w="28" w:type="dxa"/>
          <w:left w:w="28" w:type="dxa"/>
          <w:bottom w:w="28" w:type="dxa"/>
          <w:right w:w="28" w:type="dxa"/>
        </w:tblCellMar>
      </w:tblPr>
      <w:tblGrid>
        <w:gridCol w:w="1080"/>
        <w:gridCol w:w="949"/>
        <w:gridCol w:w="956"/>
        <w:gridCol w:w="293"/>
        <w:gridCol w:w="1003"/>
        <w:gridCol w:w="203"/>
        <w:gridCol w:w="109"/>
        <w:gridCol w:w="109"/>
        <w:gridCol w:w="109"/>
        <w:gridCol w:w="289"/>
        <w:gridCol w:w="845"/>
        <w:gridCol w:w="200"/>
        <w:gridCol w:w="109"/>
        <w:gridCol w:w="109"/>
        <w:gridCol w:w="109"/>
        <w:gridCol w:w="211"/>
        <w:gridCol w:w="721"/>
        <w:gridCol w:w="191"/>
      </w:tblGrid>
      <w:tr>
        <w:trPr/>
        <w:tc>
          <w:tcPr>
            <w:tcW w:w="1080"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w:t>
            </w:r>
          </w:p>
        </w:tc>
      </w:tr>
      <w:tr>
        <w:trPr/>
        <w:tc>
          <w:tcPr>
            <w:tcW w:w="298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Remainder of 2020</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5,783 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5,930 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2021</w:t>
            </w:r>
          </w:p>
        </w:tc>
        <w:tc>
          <w:tcPr>
            <w:tcW w:w="129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9,826 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291 </w:t>
            </w:r>
          </w:p>
        </w:tc>
        <w:tc>
          <w:tcPr>
            <w:tcW w:w="20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10,117 </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98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2022</w:t>
            </w:r>
          </w:p>
        </w:tc>
        <w:tc>
          <w:tcPr>
            <w:tcW w:w="129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7,588 </w:t>
            </w:r>
          </w:p>
        </w:tc>
        <w:tc>
          <w:tcPr>
            <w:tcW w:w="20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267 </w:t>
            </w:r>
          </w:p>
        </w:tc>
        <w:tc>
          <w:tcPr>
            <w:tcW w:w="20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7,855 </w:t>
            </w:r>
          </w:p>
        </w:tc>
        <w:tc>
          <w:tcPr>
            <w:tcW w:w="19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2023</w:t>
            </w:r>
          </w:p>
        </w:tc>
        <w:tc>
          <w:tcPr>
            <w:tcW w:w="129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4,796 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261 </w:t>
            </w:r>
          </w:p>
        </w:tc>
        <w:tc>
          <w:tcPr>
            <w:tcW w:w="20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5,057 </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98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2024</w:t>
            </w:r>
          </w:p>
        </w:tc>
        <w:tc>
          <w:tcPr>
            <w:tcW w:w="129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3,015 </w:t>
            </w:r>
          </w:p>
        </w:tc>
        <w:tc>
          <w:tcPr>
            <w:tcW w:w="203"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214 </w:t>
            </w:r>
          </w:p>
        </w:tc>
        <w:tc>
          <w:tcPr>
            <w:tcW w:w="20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3,229 </w:t>
            </w:r>
          </w:p>
        </w:tc>
        <w:tc>
          <w:tcPr>
            <w:tcW w:w="19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Thereafter</w:t>
            </w:r>
          </w:p>
        </w:tc>
        <w:tc>
          <w:tcPr>
            <w:tcW w:w="129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4,684 </w:t>
            </w:r>
          </w:p>
        </w:tc>
        <w:tc>
          <w:tcPr>
            <w:tcW w:w="203"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15 </w:t>
            </w:r>
          </w:p>
        </w:tc>
        <w:tc>
          <w:tcPr>
            <w:tcW w:w="20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4,699 </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98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undiscounted lease payments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35,692 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1,195 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36,887 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Less: imputed interest</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3,298 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3,429 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98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Present value of lease liabilities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32,394 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1,064 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33,458 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r>
    </w:tbl>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total future undiscounted cash flows related to lease agreements committed to but not yet commenced as of June 30, 2020, is $432.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Lease cost recognized in our Condensed Consolidated Statements of Comprehensive Income is summarized as follows:</w:t>
      </w:r>
    </w:p>
    <w:tbl>
      <w:tblPr>
        <w:tblW w:w="6512" w:type="dxa"/>
        <w:jc w:val="center"/>
        <w:tblInd w:w="0" w:type="dxa"/>
        <w:tblCellMar>
          <w:top w:w="28" w:type="dxa"/>
          <w:left w:w="28" w:type="dxa"/>
          <w:bottom w:w="28" w:type="dxa"/>
          <w:right w:w="28" w:type="dxa"/>
        </w:tblCellMar>
      </w:tblPr>
      <w:tblGrid>
        <w:gridCol w:w="857"/>
        <w:gridCol w:w="753"/>
        <w:gridCol w:w="759"/>
        <w:gridCol w:w="393"/>
        <w:gridCol w:w="1149"/>
        <w:gridCol w:w="272"/>
        <w:gridCol w:w="109"/>
        <w:gridCol w:w="109"/>
        <w:gridCol w:w="109"/>
        <w:gridCol w:w="340"/>
        <w:gridCol w:w="1164"/>
        <w:gridCol w:w="235"/>
        <w:gridCol w:w="109"/>
        <w:gridCol w:w="154"/>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w:t>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0" w:type="dxa"/>
            <w:gridSpan w:val="9"/>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30, 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Operating lease cost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2,967 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8,907 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Finance lease cost</w:t>
            </w:r>
          </w:p>
        </w:tc>
        <w:tc>
          <w:tcPr>
            <w:tcW w:w="18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Amortization of lease assets</w:t>
            </w:r>
          </w:p>
        </w:tc>
        <w:tc>
          <w:tcPr>
            <w:tcW w:w="154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64 </w:t>
            </w:r>
          </w:p>
        </w:tc>
        <w:tc>
          <w:tcPr>
            <w:tcW w:w="272"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124 </w:t>
            </w:r>
          </w:p>
        </w:tc>
        <w:tc>
          <w:tcPr>
            <w:tcW w:w="235"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on lease liabilities</w:t>
            </w:r>
          </w:p>
        </w:tc>
        <w:tc>
          <w:tcPr>
            <w:tcW w:w="15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15 </w:t>
            </w:r>
          </w:p>
        </w:tc>
        <w:tc>
          <w:tcPr>
            <w:tcW w:w="272"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30 </w:t>
            </w:r>
          </w:p>
        </w:tc>
        <w:tc>
          <w:tcPr>
            <w:tcW w:w="235"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Finance lease cost</w:t>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79 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Short-term lease cost</w:t>
            </w:r>
          </w:p>
        </w:tc>
        <w:tc>
          <w:tcPr>
            <w:tcW w:w="15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327 </w:t>
            </w:r>
          </w:p>
        </w:tc>
        <w:tc>
          <w:tcPr>
            <w:tcW w:w="272"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802 </w:t>
            </w:r>
          </w:p>
        </w:tc>
        <w:tc>
          <w:tcPr>
            <w:tcW w:w="235"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Variable lease cost</w:t>
            </w:r>
          </w:p>
        </w:tc>
        <w:tc>
          <w:tcPr>
            <w:tcW w:w="154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190 </w:t>
            </w:r>
          </w:p>
        </w:tc>
        <w:tc>
          <w:tcPr>
            <w:tcW w:w="272"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618 </w:t>
            </w:r>
          </w:p>
        </w:tc>
        <w:tc>
          <w:tcPr>
            <w:tcW w:w="235"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lease cost</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3,563 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10,481 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information about lease amounts recognized in our condensed consolidated financial statements is summarized as follows:</w:t>
      </w:r>
    </w:p>
    <w:p>
      <w:pPr>
        <w:pStyle w:val="TextBody"/>
        <w:spacing w:before="0" w:after="0"/>
        <w:rPr/>
      </w:pPr>
      <w:r>
        <w:rPr/>
      </w:r>
    </w:p>
    <w:tbl>
      <w:tblPr>
        <w:tblW w:w="10338" w:type="dxa"/>
        <w:jc w:val="left"/>
        <w:tblInd w:w="0" w:type="dxa"/>
        <w:tblCellMar>
          <w:top w:w="28" w:type="dxa"/>
          <w:left w:w="28" w:type="dxa"/>
          <w:bottom w:w="28" w:type="dxa"/>
          <w:right w:w="28" w:type="dxa"/>
        </w:tblCellMar>
      </w:tblPr>
      <w:tblGrid>
        <w:gridCol w:w="2242"/>
        <w:gridCol w:w="1969"/>
        <w:gridCol w:w="1983"/>
        <w:gridCol w:w="393"/>
        <w:gridCol w:w="1149"/>
        <w:gridCol w:w="272"/>
        <w:gridCol w:w="109"/>
        <w:gridCol w:w="109"/>
        <w:gridCol w:w="109"/>
        <w:gridCol w:w="377"/>
        <w:gridCol w:w="1102"/>
        <w:gridCol w:w="261"/>
        <w:gridCol w:w="109"/>
        <w:gridCol w:w="154"/>
      </w:tblGrid>
      <w:tr>
        <w:trPr/>
        <w:tc>
          <w:tcPr>
            <w:tcW w:w="2242"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w:t>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1" w:type="dxa"/>
            <w:gridSpan w:val="9"/>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30, 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cash flows used for operating leases</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3,202 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9,500 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cash flows used for finance leases</w:t>
            </w:r>
          </w:p>
        </w:tc>
        <w:tc>
          <w:tcPr>
            <w:tcW w:w="15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15 </w:t>
            </w:r>
          </w:p>
        </w:tc>
        <w:tc>
          <w:tcPr>
            <w:tcW w:w="272"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30 </w:t>
            </w:r>
          </w:p>
        </w:tc>
        <w:tc>
          <w:tcPr>
            <w:tcW w:w="26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Right-of-use assets obtained in exchange for new operating lease liabilities</w:t>
            </w:r>
          </w:p>
        </w:tc>
        <w:tc>
          <w:tcPr>
            <w:tcW w:w="1542"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577 </w:t>
            </w:r>
          </w:p>
        </w:tc>
        <w:tc>
          <w:tcPr>
            <w:tcW w:w="272"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8,750 </w:t>
            </w:r>
          </w:p>
        </w:tc>
        <w:tc>
          <w:tcPr>
            <w:tcW w:w="26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Right-of-use assets obtained in exchange for new finance lease liabilities</w:t>
            </w:r>
          </w:p>
        </w:tc>
        <w:tc>
          <w:tcPr>
            <w:tcW w:w="154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270 </w:t>
            </w:r>
          </w:p>
        </w:tc>
        <w:tc>
          <w:tcPr>
            <w:tcW w:w="272"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1,198 </w:t>
            </w:r>
          </w:p>
        </w:tc>
        <w:tc>
          <w:tcPr>
            <w:tcW w:w="26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63" w:type="dxa"/>
            <w:gridSpan w:val="2"/>
            <w:tcBorders/>
            <w:shd w:fill="auto" w:val="clear"/>
          </w:tcPr>
          <w:p>
            <w:pPr>
              <w:pStyle w:val="TableContents"/>
              <w:spacing w:before="0" w:after="283"/>
              <w:rPr>
                <w:sz w:val="4"/>
                <w:szCs w:val="4"/>
              </w:rPr>
            </w:pPr>
            <w:r>
              <w:rPr>
                <w:sz w:val="4"/>
                <w:szCs w:val="4"/>
              </w:rPr>
            </w:r>
          </w:p>
        </w:tc>
      </w:tr>
    </w:tbl>
    <w:p>
      <w:pPr>
        <w:pStyle w:val="TextBody"/>
        <w:spacing w:before="0" w:after="0"/>
        <w:rPr/>
      </w:pPr>
      <w:r>
        <w:rPr/>
      </w:r>
    </w:p>
    <w:tbl>
      <w:tblPr>
        <w:tblW w:w="6073" w:type="dxa"/>
        <w:jc w:val="center"/>
        <w:tblInd w:w="0" w:type="dxa"/>
        <w:tblCellMar>
          <w:top w:w="28" w:type="dxa"/>
          <w:left w:w="28" w:type="dxa"/>
          <w:bottom w:w="28" w:type="dxa"/>
          <w:right w:w="28" w:type="dxa"/>
        </w:tblCellMar>
      </w:tblPr>
      <w:tblGrid>
        <w:gridCol w:w="1734"/>
        <w:gridCol w:w="1522"/>
        <w:gridCol w:w="1528"/>
        <w:gridCol w:w="263"/>
        <w:gridCol w:w="263"/>
        <w:gridCol w:w="763"/>
      </w:tblGrid>
      <w:tr>
        <w:trPr/>
        <w:tc>
          <w:tcPr>
            <w:tcW w:w="173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30, 2020</w:t>
            </w:r>
          </w:p>
        </w:tc>
      </w:tr>
      <w:tr>
        <w:trPr/>
        <w:tc>
          <w:tcPr>
            <w:tcW w:w="478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Weighted-average remaining lease term - operating leases</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4.5 years</w:t>
            </w:r>
          </w:p>
        </w:tc>
      </w:tr>
      <w:tr>
        <w:trPr/>
        <w:tc>
          <w:tcPr>
            <w:tcW w:w="478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Weighted-average remaining lease term - finance leases</w:t>
            </w:r>
          </w:p>
        </w:tc>
        <w:tc>
          <w:tcPr>
            <w:tcW w:w="1289"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4.4 years</w:t>
            </w:r>
          </w:p>
        </w:tc>
      </w:tr>
      <w:tr>
        <w:trPr/>
        <w:tc>
          <w:tcPr>
            <w:tcW w:w="478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Weighted-average discount rate - operating leases</w:t>
            </w:r>
          </w:p>
        </w:tc>
        <w:tc>
          <w:tcPr>
            <w:tcW w:w="5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4.0 </w:t>
            </w:r>
          </w:p>
        </w:tc>
        <w:tc>
          <w:tcPr>
            <w:tcW w:w="763"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r>
      <w:tr>
        <w:trPr/>
        <w:tc>
          <w:tcPr>
            <w:tcW w:w="478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Weighted-average discount rate - finance leases</w:t>
            </w:r>
          </w:p>
        </w:tc>
        <w:tc>
          <w:tcPr>
            <w:tcW w:w="5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5.5 </w:t>
            </w:r>
          </w:p>
        </w:tc>
        <w:tc>
          <w:tcPr>
            <w:tcW w:w="763" w:type="dxa"/>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14. BUSINESS COMBINATIONS AND DIVESTITURES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completed two acquisitions during the nine months ended June 30, 2020 for a total aggregate cash consideration of $28,952.</w:t>
      </w:r>
    </w:p>
    <w:p>
      <w:pPr>
        <w:pStyle w:val="TextBody"/>
        <w:spacing w:before="0" w:after="0"/>
        <w:rPr/>
      </w:pPr>
      <w:r>
        <w:rPr/>
      </w:r>
    </w:p>
    <w:p>
      <w:pPr>
        <w:pStyle w:val="TextBody"/>
        <w:spacing w:lineRule="auto" w:line="288" w:before="0" w:after="0"/>
        <w:rPr>
          <w:color w:val="000000"/>
          <w:highlight w:val="white"/>
        </w:rPr>
      </w:pPr>
      <w:r>
        <w:rPr>
          <w:color w:val="000000"/>
          <w:highlight w:val="white"/>
        </w:rPr>
        <w:t xml:space="preserve">• </w:t>
      </w:r>
      <w:r>
        <w:rPr>
          <w:rFonts w:ascii="Times New Roman;sans-serif" w:hAnsi="Times New Roman;sans-serif"/>
          <w:b w:val="false"/>
          <w:color w:val="000000"/>
          <w:sz w:val="20"/>
          <w:highlight w:val="white"/>
        </w:rPr>
        <w:t>Aerial Lighting &amp; Electric, Inc. (“Aerial”) – On February 18, 2020, we acquired 100% of the equity interests in Aerial, a Naugatuck, CT based electrical contractor specializing in the design and installation of electrical systems for multi-family developments. The acquisition of Aerial furthers our Residential segment's growth strategy by providing a foothold in the Northeast market.</w:t>
      </w:r>
    </w:p>
    <w:p>
      <w:pPr>
        <w:pStyle w:val="TextBody"/>
        <w:spacing w:lineRule="auto" w:line="288" w:before="0" w:after="0"/>
        <w:rPr>
          <w:color w:val="000000"/>
          <w:highlight w:val="white"/>
        </w:rPr>
      </w:pPr>
      <w:r>
        <w:rPr>
          <w:color w:val="000000"/>
          <w:highlight w:val="white"/>
        </w:rPr>
        <w:t xml:space="preserve">• </w:t>
      </w:r>
      <w:r>
        <w:rPr>
          <w:rFonts w:ascii="Times New Roman;sans-serif" w:hAnsi="Times New Roman;sans-serif"/>
          <w:b w:val="false"/>
          <w:color w:val="000000"/>
          <w:sz w:val="20"/>
          <w:highlight w:val="white"/>
        </w:rPr>
        <w:t>Plant Power &amp; Control Systems, LLC (“PPCS”) – On February 21, 2020, we acquired 100% of the membership interests in PPCS, a Birmingham, AL based manufacturer and installer of custom engineered power distribution equipment. The acquisition of PPCS furthers our Infrastructure Solutions segment's growth strategy by accelerating their expansion in the Southeast market.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accounted for the transactions under the acquisition method of accounting, which requires recording assets and liabilities at fair value (Level 3). The valuations derived from estimated fair value assessments and assumptions used by management are preliminary pending finalization of certain tangible and intangible asset valuations and assessment of deferred taxes. While management believes that its preliminary estimates and assumptions underlying the valuations are reasonable, different estimates and assumptions could result in different values being assigned to individual assets acquired and liabilities assumed. This may result in adjustments to the preliminary amounts recorded. The preliminary valuation of the assets and liabilities assumed is as follows:</w:t>
      </w:r>
    </w:p>
    <w:p>
      <w:pPr>
        <w:pStyle w:val="TextBody"/>
        <w:spacing w:before="0" w:after="0"/>
        <w:rPr/>
      </w:pPr>
      <w:r>
        <w:rPr/>
      </w:r>
    </w:p>
    <w:tbl>
      <w:tblPr>
        <w:tblW w:w="3308" w:type="dxa"/>
        <w:jc w:val="left"/>
        <w:tblInd w:w="0" w:type="dxa"/>
        <w:tblCellMar>
          <w:top w:w="28" w:type="dxa"/>
          <w:left w:w="28" w:type="dxa"/>
          <w:bottom w:w="28" w:type="dxa"/>
          <w:right w:w="28" w:type="dxa"/>
        </w:tblCellMar>
      </w:tblPr>
      <w:tblGrid>
        <w:gridCol w:w="748"/>
        <w:gridCol w:w="658"/>
        <w:gridCol w:w="663"/>
        <w:gridCol w:w="109"/>
        <w:gridCol w:w="109"/>
        <w:gridCol w:w="109"/>
        <w:gridCol w:w="360"/>
        <w:gridCol w:w="361"/>
        <w:gridCol w:w="191"/>
      </w:tblGrid>
      <w:tr>
        <w:trPr/>
        <w:tc>
          <w:tcPr>
            <w:tcW w:w="74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6,185 </w:t>
            </w:r>
          </w:p>
        </w:tc>
        <w:tc>
          <w:tcPr>
            <w:tcW w:w="19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06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489 </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06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19,733 </w:t>
            </w:r>
          </w:p>
        </w:tc>
        <w:tc>
          <w:tcPr>
            <w:tcW w:w="19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06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9,862 </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06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(4,863)</w:t>
            </w:r>
          </w:p>
        </w:tc>
        <w:tc>
          <w:tcPr>
            <w:tcW w:w="191"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Deferred tax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(2,454)</w:t>
            </w:r>
          </w:p>
        </w:tc>
        <w:tc>
          <w:tcPr>
            <w:tcW w:w="191"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r>
      <w:tr>
        <w:trPr/>
        <w:tc>
          <w:tcPr>
            <w:tcW w:w="206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assets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28,952 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r>
    </w:tbl>
    <w:p>
      <w:pPr>
        <w:pStyle w:val="TextBody"/>
        <w:spacing w:before="0" w:after="0"/>
        <w:ind w:left="0" w:right="0" w:firstLine="72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With regard to goodwill, the balance is attributable to the workforce of the acquired business and other intangibles that do not qualify for separate recognition. In connection with these acquisitions, we acquired goodwill of $9,862 of which $3,916 is tax deductible.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These acquisitions contributed $7,713 in additional revenue and $464 in operating income during the three months ended June 30, 2020, and $12,668 in additional revenue and $991 in operating income during the nine months ended June 30, 2020.</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Unaudited Pro Forma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unaudited supplemental pro forma results of operations for the three and nine months ended June 30, 2020 and 2019 are calculated as if each acquisition occurred as of October 1 of the fiscal year prior to consummation.</w:t>
      </w:r>
    </w:p>
    <w:p>
      <w:pPr>
        <w:pStyle w:val="TextBody"/>
        <w:spacing w:before="0" w:after="0"/>
        <w:rPr/>
      </w:pPr>
      <w:r>
        <w:rPr/>
      </w:r>
    </w:p>
    <w:tbl>
      <w:tblPr>
        <w:tblW w:w="8628" w:type="dxa"/>
        <w:jc w:val="left"/>
        <w:tblInd w:w="0" w:type="dxa"/>
        <w:tblCellMar>
          <w:top w:w="28" w:type="dxa"/>
          <w:left w:w="28" w:type="dxa"/>
          <w:bottom w:w="28" w:type="dxa"/>
          <w:right w:w="28" w:type="dxa"/>
        </w:tblCellMar>
      </w:tblPr>
      <w:tblGrid>
        <w:gridCol w:w="1005"/>
        <w:gridCol w:w="881"/>
        <w:gridCol w:w="887"/>
        <w:gridCol w:w="330"/>
        <w:gridCol w:w="330"/>
        <w:gridCol w:w="330"/>
        <w:gridCol w:w="109"/>
        <w:gridCol w:w="109"/>
        <w:gridCol w:w="109"/>
        <w:gridCol w:w="558"/>
        <w:gridCol w:w="268"/>
        <w:gridCol w:w="345"/>
        <w:gridCol w:w="360"/>
        <w:gridCol w:w="361"/>
        <w:gridCol w:w="345"/>
        <w:gridCol w:w="558"/>
        <w:gridCol w:w="268"/>
        <w:gridCol w:w="345"/>
        <w:gridCol w:w="360"/>
        <w:gridCol w:w="361"/>
        <w:gridCol w:w="146"/>
        <w:gridCol w:w="109"/>
        <w:gridCol w:w="154"/>
      </w:tblGrid>
      <w:tr>
        <w:trPr/>
        <w:tc>
          <w:tcPr>
            <w:tcW w:w="1005"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8" w:type="dxa"/>
            <w:gridSpan w:val="9"/>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Unaudited</w:t>
            </w:r>
          </w:p>
        </w:tc>
        <w:tc>
          <w:tcPr>
            <w:tcW w:w="8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8" w:type="dxa"/>
            <w:gridSpan w:val="9"/>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Three Months Ended June 30, </w:t>
            </w:r>
          </w:p>
        </w:tc>
        <w:tc>
          <w:tcPr>
            <w:tcW w:w="8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293,125 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66"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295,189 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63"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IES Holdings, Inc.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12,260 </w:t>
            </w:r>
          </w:p>
        </w:tc>
        <w:tc>
          <w:tcPr>
            <w:tcW w:w="345"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1"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11,834 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8" w:type="dxa"/>
            <w:gridSpan w:val="9"/>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Unaudited</w:t>
            </w:r>
          </w:p>
        </w:tc>
        <w:tc>
          <w:tcPr>
            <w:tcW w:w="8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8" w:type="dxa"/>
            <w:gridSpan w:val="9"/>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8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877,609 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66"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813,575 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63"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IES Holdings, Inc.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28,393 </w:t>
            </w:r>
          </w:p>
        </w:tc>
        <w:tc>
          <w:tcPr>
            <w:tcW w:w="345"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171"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24,538 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15. SUBSEQUENT EVENTS </w:t>
      </w:r>
    </w:p>
    <w:p>
      <w:pPr>
        <w:pStyle w:val="TextBody"/>
        <w:spacing w:before="0" w:after="0"/>
        <w:jc w:val="both"/>
        <w:rPr/>
      </w:pPr>
      <w:r>
        <w:rPr/>
      </w:r>
    </w:p>
    <w:p>
      <w:pPr>
        <w:pStyle w:val="TextBody"/>
        <w:spacing w:lineRule="auto" w:line="27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August 3, 2020, the Company announced the appointment of Jeffrey L. Gendell as Interim Chief Executive Officer, effective as of July 31, 2020, and the resignation of Gary S. Matthews as Chief Executive Officer and a Director of the Company, effective as of July 31, 2020. Mr. Matthews is expected to receive severance benefits that are materially consistent with those described in the Company’s executive severance plan and his employment agreement.</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260"/>
        <w:jc w:val="both"/>
        <w:rPr/>
      </w:pPr>
      <w:r>
        <w:rPr>
          <w:rFonts w:ascii="Times New Roman;sans-serif" w:hAnsi="Times New Roman;sans-serif"/>
          <w:b/>
          <w:color w:val="000000"/>
          <w:sz w:val="20"/>
          <w:highlight w:val="white"/>
        </w:rPr>
        <w:t xml:space="preserve">Item 2. </w:t>
      </w:r>
      <w:r>
        <w:rPr>
          <w:rFonts w:ascii="Times New Roman;sans-serif" w:hAnsi="Times New Roman;sans-serif"/>
          <w:b/>
          <w:i/>
          <w:color w:val="000000"/>
          <w:sz w:val="20"/>
          <w:highlight w:val="white"/>
        </w:rPr>
        <w:t>Management’s Discussion and Analysis of Financial Condition and Results of Operations</w:t>
      </w:r>
    </w:p>
    <w:p>
      <w:pPr>
        <w:pStyle w:val="TextBody"/>
        <w:spacing w:before="0" w:after="0"/>
        <w:ind w:left="0" w:right="0" w:hanging="126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The following discussion and analysis should be read in conjunction with our Consolidated Financial Statements and the notes thereto, set forth in Part II, Item 8. </w:t>
      </w:r>
      <w:r>
        <w:rPr>
          <w:color w:val="000000"/>
          <w:highlight w:val="white"/>
        </w:rPr>
        <w:t>“</w:t>
      </w:r>
      <w:r>
        <w:rPr>
          <w:rFonts w:ascii="Times New Roman;sans-serif" w:hAnsi="Times New Roman;sans-serif"/>
          <w:b w:val="false"/>
          <w:i/>
          <w:color w:val="000000"/>
          <w:sz w:val="20"/>
          <w:highlight w:val="white"/>
        </w:rPr>
        <w:t>Financial Statements and Supplementary Data”</w:t>
      </w:r>
      <w:r>
        <w:rPr>
          <w:color w:val="000000"/>
          <w:highlight w:val="white"/>
        </w:rPr>
        <w:t xml:space="preserve"> </w:t>
      </w:r>
      <w:r>
        <w:rPr>
          <w:rFonts w:ascii="Times New Roman;sans-serif" w:hAnsi="Times New Roman;sans-serif"/>
          <w:b w:val="false"/>
          <w:color w:val="000000"/>
          <w:sz w:val="20"/>
          <w:highlight w:val="white"/>
        </w:rPr>
        <w:t>as set forth in our Annual Report on Form 10-K for the year ended September 30, 2019, and the Condensed Consolidated Financial Statements and notes thereto included in Part I, Item 1 of this Quarterly Report on Form 10-Q</w:t>
      </w:r>
      <w:r>
        <w:rPr>
          <w:rFonts w:ascii="Times New Roman;sans-serif" w:hAnsi="Times New Roman;sans-serif"/>
          <w:b w:val="false"/>
          <w:color w:val="000000"/>
          <w:sz w:val="24"/>
          <w:highlight w:val="white"/>
        </w:rPr>
        <w:t>.</w:t>
      </w:r>
      <w:r>
        <w:rPr>
          <w:color w:val="000000"/>
          <w:highlight w:val="white"/>
        </w:rPr>
        <w:t xml:space="preserve"> </w:t>
      </w:r>
      <w:r>
        <w:rPr>
          <w:rFonts w:ascii="Times New Roman;sans-serif" w:hAnsi="Times New Roman;sans-serif"/>
          <w:b w:val="false"/>
          <w:color w:val="000000"/>
          <w:sz w:val="20"/>
          <w:highlight w:val="white"/>
        </w:rPr>
        <w:t xml:space="preserve">The following discussion may contain forward looking statements. For additional information, see </w:t>
      </w:r>
      <w:r>
        <w:rPr>
          <w:color w:val="000000"/>
          <w:highlight w:val="white"/>
        </w:rPr>
        <w:t>“</w:t>
      </w:r>
      <w:r>
        <w:rPr>
          <w:rFonts w:ascii="Times New Roman;sans-serif" w:hAnsi="Times New Roman;sans-serif"/>
          <w:b w:val="false"/>
          <w:i/>
          <w:color w:val="000000"/>
          <w:sz w:val="20"/>
          <w:highlight w:val="white"/>
        </w:rPr>
        <w:t>Disclosure Regarding Forward Looking Statements”</w:t>
      </w:r>
      <w:r>
        <w:rPr>
          <w:color w:val="000000"/>
          <w:highlight w:val="white"/>
        </w:rPr>
        <w:t xml:space="preserve"> </w:t>
      </w:r>
      <w:r>
        <w:rPr>
          <w:rFonts w:ascii="Times New Roman;sans-serif" w:hAnsi="Times New Roman;sans-serif"/>
          <w:b w:val="false"/>
          <w:color w:val="000000"/>
          <w:sz w:val="20"/>
          <w:highlight w:val="white"/>
        </w:rPr>
        <w:t>in Part I of this Quarterly Report on Form 10-Q.</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OVERVIEW</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Executive Overview</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Please refer to Part I, Item 1.</w:t>
      </w:r>
      <w:r>
        <w:rPr>
          <w:color w:val="000000"/>
          <w:highlight w:val="white"/>
        </w:rPr>
        <w:t xml:space="preserve"> “</w:t>
      </w:r>
      <w:r>
        <w:rPr>
          <w:rFonts w:ascii="Times New Roman;sans-serif" w:hAnsi="Times New Roman;sans-serif"/>
          <w:b w:val="false"/>
          <w:i/>
          <w:color w:val="000000"/>
          <w:sz w:val="20"/>
          <w:highlight w:val="white"/>
        </w:rPr>
        <w:t xml:space="preserve">Business” </w:t>
      </w:r>
      <w:r>
        <w:rPr>
          <w:rFonts w:ascii="Times New Roman;sans-serif" w:hAnsi="Times New Roman;sans-serif"/>
          <w:b w:val="false"/>
          <w:color w:val="000000"/>
          <w:sz w:val="20"/>
          <w:highlight w:val="white"/>
        </w:rPr>
        <w:t>of our Annual Report on Form 10-K for the year ended September 30, 2019,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pStyle w:val="TextBody"/>
        <w:spacing w:before="0" w:after="0"/>
        <w:rPr/>
      </w:pPr>
      <w:r>
        <w:rPr/>
      </w:r>
    </w:p>
    <w:p>
      <w:pPr>
        <w:pStyle w:val="TextBody"/>
        <w:spacing w:lineRule="auto" w:line="276" w:before="0" w:after="0"/>
        <w:rPr>
          <w:rFonts w:ascii="Times New Roman;sans-serif" w:hAnsi="Times New Roman;sans-serif"/>
          <w:b/>
          <w:color w:val="212529"/>
          <w:sz w:val="20"/>
          <w:highlight w:val="white"/>
        </w:rPr>
      </w:pPr>
      <w:r>
        <w:rPr>
          <w:rFonts w:ascii="Times New Roman;sans-serif" w:hAnsi="Times New Roman;sans-serif"/>
          <w:b/>
          <w:color w:val="212529"/>
          <w:sz w:val="20"/>
          <w:highlight w:val="white"/>
        </w:rPr>
        <w:t>Impact of COVID-19 on Our Business</w:t>
      </w:r>
    </w:p>
    <w:p>
      <w:pPr>
        <w:pStyle w:val="TextBody"/>
        <w:spacing w:before="0" w:after="0"/>
        <w:rPr/>
      </w:pPr>
      <w:r>
        <w:rPr/>
      </w:r>
    </w:p>
    <w:p>
      <w:pPr>
        <w:pStyle w:val="TextBody"/>
        <w:spacing w:lineRule="auto" w:line="276" w:before="0" w:after="0"/>
        <w:rPr>
          <w:rFonts w:ascii="Times New Roman;sans-serif" w:hAnsi="Times New Roman;sans-serif"/>
          <w:b w:val="false"/>
          <w:color w:val="212529"/>
          <w:sz w:val="20"/>
          <w:highlight w:val="white"/>
        </w:rPr>
      </w:pPr>
      <w:r>
        <w:rPr>
          <w:rFonts w:ascii="Times New Roman;sans-serif" w:hAnsi="Times New Roman;sans-serif"/>
          <w:b w:val="false"/>
          <w:color w:val="212529"/>
          <w:sz w:val="20"/>
          <w:highlight w:val="white"/>
        </w:rPr>
        <w:t xml:space="preserve">The Coronavirus Disease 2019 (“COVID-19”) and related governmental responses have caused, and are likely to continue to cause, significant disruption to the economy and the health of employees and customers across the markets in which we operate and beyond. As such, COVID-19 has adversely affected, and is expected to continue to adversely affect, our business, although it is difficult to predict the magnitude and nature of the impact. State and local governments in most of the localities where we operate have deemed most of our services to be essential or critical, and therefore permitted to continue operating in those localities while “stay at home” orders are in effect during this pandemic. Therefore, we are focused on protecting the health and safety of our employees while maintaining the continuity of our operations. While most of our facilities and job sites continue to operate, the extent to which COVID-19 and its broader impact on the economy will affect future demand for our services is uncertain. We have seen COVID-19 affect demand in some areas of our business, where construction or maintenance projects have been delayed; however, there are other areas where we have seen an increase in demand, particularly as it relates to critical infrastructure for data centers and communications.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w:t>
                      </w:r>
                    </w:p>
                  </w:txbxContent>
                </v:textbox>
              </v:rect>
            </w:pict>
          </mc:Fallback>
        </mc:AlternateContent>
      </w:r>
    </w:p>
    <w:p>
      <w:pPr>
        <w:pStyle w:val="TextBody"/>
        <w:spacing w:before="0" w:after="0"/>
        <w:rPr/>
      </w:pPr>
      <w:r>
        <w:rPr/>
      </w:r>
    </w:p>
    <w:p>
      <w:pPr>
        <w:pStyle w:val="TextBody"/>
        <w:spacing w:lineRule="auto" w:line="276" w:before="0" w:after="0"/>
        <w:rPr/>
      </w:pPr>
      <w:r>
        <w:rPr>
          <w:rFonts w:ascii="Times New Roman;sans-serif" w:hAnsi="Times New Roman;sans-serif"/>
          <w:b w:val="false"/>
          <w:color w:val="212529"/>
          <w:sz w:val="20"/>
          <w:highlight w:val="white"/>
        </w:rPr>
        <w:t xml:space="preserve">COVID-19 presents potential new risks to our business. There have been some adverse COVID-19 impacts on our results of operations for the first nine months of fiscal 2020. We have experienced some challenges to date, including the implementation of new health and safety protocols and responding to changing federal, state and local orders. Factors that we expect will affect our results in the future include, but are not limited to, the potential impacts on our workforce of either illness or government orders requiring employees to remain at home, a reduced demand for our services, increases in operating costs due to disruptions and personal protective equipment requirements, and limitations on the ability of our customers to pay us on a timely basis. We are continuing to monitor conditions affecting our business, and will take actions as may be necessary to ensure the health and safety of our employees and to serve our customers. Please refer to Part II. Item 1A. </w:t>
      </w:r>
      <w:r>
        <w:rPr>
          <w:rFonts w:ascii="Times New Roman;sans-serif" w:hAnsi="Times New Roman;sans-serif"/>
          <w:b w:val="false"/>
          <w:i/>
          <w:color w:val="212529"/>
          <w:sz w:val="20"/>
          <w:highlight w:val="white"/>
        </w:rPr>
        <w:t>"Risk Factors</w:t>
      </w:r>
      <w:r>
        <w:rPr>
          <w:rFonts w:ascii="Times New Roman;sans-serif" w:hAnsi="Times New Roman;sans-serif"/>
          <w:b w:val="false"/>
          <w:color w:val="212529"/>
          <w:sz w:val="20"/>
          <w:highlight w:val="white"/>
        </w:rPr>
        <w:t>" on this Quarterly Report on Form 10-Q for further information.</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report our operating results across our four operating segments: Commercial &amp; Industrial, Communications, Infrastructure Solutions and Residential. Expenses associated with our corporate office are classified separately. The following table presents selected historical results of operations of IES Holdings, Inc., as well as the results of acquired businesses from the dates acquired. </w:t>
      </w:r>
    </w:p>
    <w:tbl>
      <w:tblPr>
        <w:tblW w:w="11098"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519"/>
        <w:gridCol w:w="459"/>
        <w:gridCol w:w="358"/>
        <w:gridCol w:w="211"/>
        <w:gridCol w:w="826"/>
        <w:gridCol w:w="146"/>
        <w:gridCol w:w="211"/>
        <w:gridCol w:w="721"/>
        <w:gridCol w:w="146"/>
        <w:gridCol w:w="308"/>
        <w:gridCol w:w="308"/>
        <w:gridCol w:w="146"/>
        <w:gridCol w:w="255"/>
        <w:gridCol w:w="256"/>
        <w:gridCol w:w="146"/>
        <w:gridCol w:w="109"/>
        <w:gridCol w:w="109"/>
        <w:gridCol w:w="109"/>
        <w:gridCol w:w="211"/>
        <w:gridCol w:w="826"/>
        <w:gridCol w:w="146"/>
        <w:gridCol w:w="211"/>
        <w:gridCol w:w="721"/>
        <w:gridCol w:w="146"/>
        <w:gridCol w:w="308"/>
        <w:gridCol w:w="308"/>
        <w:gridCol w:w="146"/>
        <w:gridCol w:w="255"/>
        <w:gridCol w:w="256"/>
        <w:gridCol w:w="146"/>
        <w:gridCol w:w="271"/>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7" w:type="dxa"/>
            <w:gridSpan w:val="27"/>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w:t>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0"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7" w:type="dxa"/>
            <w:gridSpan w:val="27"/>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(Dollars in thousands, Percentage of revenues)</w:t>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211"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293,125 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282,633 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79" w:type="dxa"/>
            <w:gridSpan w:val="8"/>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234,805 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236,236 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83.6 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79" w:type="dxa"/>
            <w:gridSpan w:val="8"/>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58,320 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46,397 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08" w:type="dxa"/>
            <w:gridSpan w:val="7"/>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44,261 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36,333 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79" w:type="dxa"/>
            <w:gridSpan w:val="8"/>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(163)</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(0.1)</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79" w:type="dxa"/>
            <w:gridSpan w:val="8"/>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Gain on sale of assets</w:t>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79" w:type="dxa"/>
            <w:gridSpan w:val="8"/>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14,062 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10,235 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08" w:type="dxa"/>
            <w:gridSpan w:val="7"/>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and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387 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79" w:type="dxa"/>
            <w:gridSpan w:val="8"/>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Income from operations before income taxes</w:t>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14,025 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9,848 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08" w:type="dxa"/>
            <w:gridSpan w:val="7"/>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1,695 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(1,207)</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(0.4)</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79" w:type="dxa"/>
            <w:gridSpan w:val="8"/>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w:t>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12,330 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11,055 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08" w:type="dxa"/>
            <w:gridSpan w:val="7"/>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loss attributable to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(83)</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79" w:type="dxa"/>
            <w:gridSpan w:val="8"/>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IES Holdings, Inc.</w:t>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12,260 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10,972 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08" w:type="dxa"/>
            <w:gridSpan w:val="7"/>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Consolidated revenues for the three months ended June 30, 2020, were $10.5 million higher than for the three months ended June 30, 2019, an increase of 3.7%, with increases at our Communications and Residential segments, driven by strong demand. Revenues decreased at our Commercial &amp; Industrial segment, where many of our markets remain highly competitive and most affected by COVID-19, and our Infrastructure Solutions segment, which was affected by the timing of certain large customers’ capital spending cycles.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Consolidated gross profit for the three months ended June 30, 2020 increased $11.9 million compared with the three months ended June 30, 2019. Our overall gross profit percentage increased to 19.9% during the three months ended June 30, 2020, as compared to 16.4% during the three months ended June 30, 2019. Gross profit as a percentage of revenue increased at each of our segments, with the exception of our Commercial &amp; Industrial segment. See further discussion below of changes in gross margin for our individual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pStyle w:val="TextBody"/>
        <w:spacing w:lineRule="auto" w:line="288" w:before="0" w:after="0"/>
        <w:jc w:val="both"/>
        <w:rPr>
          <w:color w:val="000000"/>
          <w:highlight w:val="white"/>
        </w:rPr>
      </w:pPr>
      <w:r>
        <w:rPr>
          <w:color w:val="000000"/>
          <w:highlight w:val="white"/>
        </w:rPr>
        <w:t> </w:t>
      </w:r>
    </w:p>
    <w:p>
      <w:pPr>
        <w:pStyle w:val="TextBody"/>
        <w:spacing w:lineRule="auto" w:line="27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During the three months ended June 30, 2020, our selling, general and administrative expenses were $44.3 million, an increase of $7.9 million, or 21.8%, over the three months ended June 30, 2019, driven largely by increased personnel costs at our Communications and Residential operating segments in connection with their growth, as well as increased incentive compensation expense at those segments in connection with improved profitability and cash flow. Selling, general and administrative expenses increased at our Commercial &amp; Industrial segment as a result of an increase in the reserve for doubtful accounts related to a commercial dispute.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28</w:t>
                      </w:r>
                    </w:p>
                  </w:txbxContent>
                </v:textbox>
              </v:rect>
            </w:pict>
          </mc:Fallback>
        </mc:AlternateConten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Selling, general and administrative expense as a percent of revenue increased from 12.9% for the three months ended June 30, 2019, to 15.1% for the three months ended June 30, 2020.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tbl>
      <w:tblPr>
        <w:tblW w:w="1182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519"/>
        <w:gridCol w:w="459"/>
        <w:gridCol w:w="358"/>
        <w:gridCol w:w="109"/>
        <w:gridCol w:w="109"/>
        <w:gridCol w:w="109"/>
        <w:gridCol w:w="109"/>
        <w:gridCol w:w="109"/>
        <w:gridCol w:w="109"/>
        <w:gridCol w:w="413"/>
        <w:gridCol w:w="413"/>
        <w:gridCol w:w="146"/>
        <w:gridCol w:w="413"/>
        <w:gridCol w:w="413"/>
        <w:gridCol w:w="146"/>
        <w:gridCol w:w="308"/>
        <w:gridCol w:w="308"/>
        <w:gridCol w:w="146"/>
        <w:gridCol w:w="255"/>
        <w:gridCol w:w="256"/>
        <w:gridCol w:w="146"/>
        <w:gridCol w:w="109"/>
        <w:gridCol w:w="109"/>
        <w:gridCol w:w="109"/>
        <w:gridCol w:w="109"/>
        <w:gridCol w:w="109"/>
        <w:gridCol w:w="109"/>
        <w:gridCol w:w="413"/>
        <w:gridCol w:w="413"/>
        <w:gridCol w:w="146"/>
        <w:gridCol w:w="413"/>
        <w:gridCol w:w="413"/>
        <w:gridCol w:w="146"/>
        <w:gridCol w:w="308"/>
        <w:gridCol w:w="308"/>
        <w:gridCol w:w="146"/>
        <w:gridCol w:w="255"/>
        <w:gridCol w:w="256"/>
        <w:gridCol w:w="146"/>
        <w:gridCol w:w="271"/>
        <w:gridCol w:w="135"/>
        <w:gridCol w:w="136"/>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tcPr>
          <w:p>
            <w:pPr>
              <w:pStyle w:val="TableContents"/>
              <w:spacing w:before="0" w:after="283"/>
              <w:rPr>
                <w:sz w:val="4"/>
                <w:szCs w:val="4"/>
              </w:rPr>
            </w:pPr>
            <w:r>
              <w:rPr>
                <w:sz w:val="4"/>
                <w:szCs w:val="4"/>
              </w:rPr>
            </w:r>
          </w:p>
        </w:tc>
        <w:tc>
          <w:tcPr>
            <w:tcW w:w="135" w:type="dxa"/>
            <w:tcBorders/>
            <w:shd w:fill="auto" w:val="clear"/>
          </w:tcPr>
          <w:p>
            <w:pPr>
              <w:pStyle w:val="TableContents"/>
              <w:spacing w:before="0" w:after="283"/>
              <w:rPr>
                <w:sz w:val="4"/>
                <w:szCs w:val="4"/>
              </w:rPr>
            </w:pPr>
            <w:r>
              <w:rPr>
                <w:sz w:val="4"/>
                <w:szCs w:val="4"/>
              </w:rPr>
            </w:r>
          </w:p>
        </w:tc>
        <w:tc>
          <w:tcPr>
            <w:tcW w:w="136"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7"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27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0" w:type="dxa"/>
            <w:gridSpan w:val="1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7"/>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gridSpan w:val="2"/>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72"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657" w:type="dxa"/>
            <w:gridSpan w:val="3"/>
            <w:tcBorders/>
            <w:shd w:fill="auto" w:val="clear"/>
            <w:vAlign w:val="center"/>
          </w:tcPr>
          <w:p>
            <w:pPr>
              <w:pStyle w:val="TableContents"/>
              <w:spacing w:before="0" w:after="283"/>
              <w:rPr>
                <w:sz w:val="4"/>
                <w:szCs w:val="4"/>
              </w:rPr>
            </w:pPr>
            <w:r>
              <w:rPr>
                <w:sz w:val="4"/>
                <w:szCs w:val="4"/>
              </w:rPr>
            </w:r>
          </w:p>
        </w:tc>
        <w:tc>
          <w:tcPr>
            <w:tcW w:w="271"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9" w:type="dxa"/>
            <w:tcBorders/>
            <w:shd w:fill="auto" w:val="clear"/>
            <w:vAlign w:val="center"/>
          </w:tcPr>
          <w:p>
            <w:pPr>
              <w:pStyle w:val="TableContents"/>
              <w:spacing w:before="0" w:after="283"/>
              <w:rPr>
                <w:sz w:val="4"/>
                <w:szCs w:val="4"/>
              </w:rPr>
            </w:pPr>
            <w:r>
              <w:rPr>
                <w:sz w:val="4"/>
                <w:szCs w:val="4"/>
              </w:rPr>
            </w:r>
          </w:p>
        </w:tc>
        <w:tc>
          <w:tcPr>
            <w:tcW w:w="654" w:type="dxa"/>
            <w:gridSpan w:val="6"/>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4" w:type="dxa"/>
            <w:gridSpan w:val="3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(Dollars in thousands, Percentage of revenues)</w:t>
            </w:r>
          </w:p>
        </w:tc>
        <w:tc>
          <w:tcPr>
            <w:tcW w:w="27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860,445 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783,389 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459" w:type="dxa"/>
            <w:gridSpan w:val="11"/>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700,646 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81.4 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652,156 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83.2 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459" w:type="dxa"/>
            <w:gridSpan w:val="11"/>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159,799 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131,233 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8" w:type="dxa"/>
            <w:gridSpan w:val="10"/>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124,169 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103,489 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459" w:type="dxa"/>
            <w:gridSpan w:val="11"/>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(278)</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459" w:type="dxa"/>
            <w:gridSpan w:val="11"/>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Loss (gain) on sale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459" w:type="dxa"/>
            <w:gridSpan w:val="11"/>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35,670 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27,935 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8" w:type="dxa"/>
            <w:gridSpan w:val="10"/>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1,404 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459" w:type="dxa"/>
            <w:gridSpan w:val="11"/>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Income from operations before income taxes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34,665 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26,531 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8" w:type="dxa"/>
            <w:gridSpan w:val="10"/>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7,592 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3,036 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459" w:type="dxa"/>
            <w:gridSpan w:val="11"/>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(loss)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27,073 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23,495 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8" w:type="dxa"/>
            <w:gridSpan w:val="10"/>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459" w:type="dxa"/>
            <w:gridSpan w:val="11"/>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6"/>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income (loss) attributable to IES Holdings, Inc.</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26,993 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23,345 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8" w:type="dxa"/>
            <w:gridSpan w:val="10"/>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spacing w:before="0" w:after="0"/>
              <w:rPr/>
            </w:pPr>
            <w:r>
              <w:rPr/>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11"/>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Consolidated revenues for the nine months ended June 30, 2020, were $77.1 million higher than for the nine months ended June 30, 2019, an increase of 9.8%, with increases at our Communications and Residential segments, driven by strong demand. Revenues decreased at our Commercial &amp; Industrial and Infrastructure Solutions segments.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overall gross profit percentage increased to 18.6% during the nine months ended June 30, 2020, as compared to 16.8% during the nine months ended June 30, 2019. Gross profit as a percentage of revenue increased at our Communications, Infrastructure Solutions, and Residential segments, but decreased at our Commercial &amp; Industrial segment. See further discussion below of changes in gross margin for our individual segments.</w:t>
      </w:r>
    </w:p>
    <w:p>
      <w:pPr>
        <w:pStyle w:val="TextBody"/>
        <w:spacing w:lineRule="auto" w:line="288" w:before="0" w:after="0"/>
        <w:jc w:val="both"/>
        <w:rPr>
          <w:color w:val="000000"/>
          <w:highlight w:val="white"/>
        </w:rPr>
      </w:pPr>
      <w:r>
        <w:rPr>
          <w:color w:val="000000"/>
          <w:highlight w:val="white"/>
        </w:rPr>
        <w:t> </w:t>
      </w:r>
    </w:p>
    <w:p>
      <w:pPr>
        <w:pStyle w:val="TextBody"/>
        <w:spacing w:lineRule="auto" w:line="27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nine months ended June 30, 2020, our selling, general and administrative expenses were $124.2 million, an increase of $20.7 million, or 20.0%, over the nine months ended June 30, 2019, driven by increased personnel costs at our Communications and Residential operating segments in connection with their growth, as well as increased incentive compensation in connection with improved results at those segments. Selling, general and administrative expenses increased at our Commercial &amp; Industrial segment as a result of an increase in the reserve for doubtful accounts related to a commercial dispute. Selling, general and administrative expense as a percent of revenue increased from 13.2% for the nine months ended June 30, 2019, to 14.4% for the nine months ended June 30, 2020.</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Commercial &amp; Industrial</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263"/>
        <w:gridCol w:w="1108"/>
        <w:gridCol w:w="1105"/>
        <w:gridCol w:w="109"/>
        <w:gridCol w:w="109"/>
        <w:gridCol w:w="109"/>
        <w:gridCol w:w="109"/>
        <w:gridCol w:w="109"/>
        <w:gridCol w:w="109"/>
        <w:gridCol w:w="360"/>
        <w:gridCol w:w="361"/>
        <w:gridCol w:w="146"/>
        <w:gridCol w:w="109"/>
        <w:gridCol w:w="109"/>
        <w:gridCol w:w="109"/>
        <w:gridCol w:w="308"/>
        <w:gridCol w:w="308"/>
        <w:gridCol w:w="146"/>
        <w:gridCol w:w="109"/>
        <w:gridCol w:w="109"/>
        <w:gridCol w:w="109"/>
        <w:gridCol w:w="109"/>
        <w:gridCol w:w="109"/>
        <w:gridCol w:w="109"/>
        <w:gridCol w:w="109"/>
        <w:gridCol w:w="109"/>
        <w:gridCol w:w="109"/>
        <w:gridCol w:w="360"/>
        <w:gridCol w:w="361"/>
        <w:gridCol w:w="146"/>
        <w:gridCol w:w="109"/>
        <w:gridCol w:w="109"/>
        <w:gridCol w:w="109"/>
        <w:gridCol w:w="308"/>
        <w:gridCol w:w="308"/>
        <w:gridCol w:w="146"/>
        <w:gridCol w:w="109"/>
        <w:gridCol w:w="109"/>
        <w:gridCol w:w="109"/>
        <w:gridCol w:w="109"/>
        <w:gridCol w:w="135"/>
        <w:gridCol w:w="136"/>
        <w:gridCol w:w="109"/>
        <w:gridCol w:w="109"/>
        <w:gridCol w:w="109"/>
        <w:gridCol w:w="109"/>
        <w:gridCol w:w="109"/>
        <w:gridCol w:w="109"/>
        <w:gridCol w:w="155"/>
      </w:tblGrid>
      <w:tr>
        <w:trPr/>
        <w:tc>
          <w:tcPr>
            <w:tcW w:w="126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5" w:type="dxa"/>
            <w:tcBorders/>
            <w:shd w:fill="auto" w:val="clear"/>
          </w:tcPr>
          <w:p>
            <w:pPr>
              <w:pStyle w:val="TableContents"/>
              <w:spacing w:before="0" w:after="283"/>
              <w:rPr>
                <w:sz w:val="4"/>
                <w:szCs w:val="4"/>
              </w:rPr>
            </w:pPr>
            <w:r>
              <w:rPr>
                <w:sz w:val="4"/>
                <w:szCs w:val="4"/>
              </w:rPr>
            </w:r>
          </w:p>
        </w:tc>
        <w:tc>
          <w:tcPr>
            <w:tcW w:w="136"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7"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1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7"/>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9" w:type="dxa"/>
            <w:tcBorders/>
            <w:shd w:fill="auto" w:val="clear"/>
            <w:vAlign w:val="center"/>
          </w:tcPr>
          <w:p>
            <w:pPr>
              <w:pStyle w:val="TableContents"/>
              <w:spacing w:before="0" w:after="283"/>
              <w:rPr>
                <w:sz w:val="4"/>
                <w:szCs w:val="4"/>
              </w:rPr>
            </w:pPr>
            <w:r>
              <w:rPr>
                <w:sz w:val="4"/>
                <w:szCs w:val="4"/>
              </w:rPr>
            </w:r>
          </w:p>
        </w:tc>
        <w:tc>
          <w:tcPr>
            <w:tcW w:w="700" w:type="dxa"/>
            <w:gridSpan w:val="6"/>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7" w:type="dxa"/>
            <w:gridSpan w:val="3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(Dollars in thousands, Percentage of revenues)</w:t>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47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56,778 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75,370 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52,212 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92.0 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69,171 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91.8 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4,566 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6,199 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8,786 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6,827 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(4,214)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(624)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highlight w:val="white"/>
        </w:rPr>
        <w:t xml:space="preserve">Revenues. </w:t>
      </w:r>
      <w:r>
        <w:rPr>
          <w:rFonts w:ascii="Times New Roman;sans-serif" w:hAnsi="Times New Roman;sans-serif"/>
          <w:b w:val="false"/>
          <w:color w:val="000000"/>
          <w:sz w:val="20"/>
          <w:highlight w:val="white"/>
        </w:rPr>
        <w:t>Revenues in our Commercial &amp; Industrial segment decreased $18.6 million, or 24.7%, during the three months ended June 30, 2020, compared to the three months ended June 30, 2019. The decrease was largely driven by lower demand for large, agricultural projects in the Midwest. The market for this segment’s services remains highly competitive, and disruptions caused by the COVID-19 pandemic have resulted in some delays in the awarding of new projects, as well as the progress of certain existing projects..</w:t>
      </w:r>
    </w:p>
    <w:p>
      <w:pPr>
        <w:pStyle w:val="TextBody"/>
        <w:spacing w:lineRule="auto" w:line="288" w:before="0" w:after="0"/>
        <w:jc w:val="both"/>
        <w:rPr/>
      </w:pPr>
      <w:r>
        <w:rPr>
          <w:rFonts w:ascii="Times New Roman;sans-serif" w:hAnsi="Times New Roman;sans-serif"/>
          <w:b w:val="false"/>
          <w:i/>
          <w:color w:val="000000"/>
          <w:sz w:val="20"/>
          <w:highlight w:val="white"/>
        </w:rPr>
        <w:t>Gross Profit</w:t>
      </w:r>
      <w:r>
        <w:rPr>
          <w:rFonts w:ascii="Times New Roman;sans-serif" w:hAnsi="Times New Roman;sans-serif"/>
          <w:b w:val="false"/>
          <w:color w:val="000000"/>
          <w:sz w:val="20"/>
          <w:highlight w:val="white"/>
        </w:rPr>
        <w:t>. Our Commercial &amp; Industrial segment’s gross profit during the three months ended June 30, 2020, decreased by $1.6 million, as compared to the three months ended June 30, 2019. The decrease is due to the reduction in volumes, as well as project execution difficulties, and inefficiencies driven by schedule changes and employee turnover, in part related to disruptions caused by COVID-19. Gross margin as a percent of revenue decreased to 8.0% during the three months ended June 30, 2020, from 8.2% for the three months ended June 30, 2019, as a result of project execution difficulties, as well as the reduction in volumes resulting in a higher rate of fixed overhead costs as a percentage of revenue.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highlight w:val="white"/>
        </w:rPr>
        <w:t>Selling, General and Administrative Expenses.</w:t>
      </w:r>
      <w:r>
        <w:rPr>
          <w:color w:val="000000"/>
          <w:highlight w:val="white"/>
        </w:rPr>
        <w:t xml:space="preserve"> </w:t>
      </w:r>
      <w:r>
        <w:rPr>
          <w:rFonts w:ascii="Times New Roman;sans-serif" w:hAnsi="Times New Roman;sans-serif"/>
          <w:b w:val="false"/>
          <w:color w:val="000000"/>
          <w:sz w:val="20"/>
          <w:highlight w:val="white"/>
        </w:rPr>
        <w:t>Our Commercial &amp; Industrial segment’s selling, general and administrative expenses during the three months ended June 30, 2020 increased $2.0 million, or 28.7%, compared to the three months ended June 30, 2019, as a result of an increase in the reserve for doubtful accounts related to a commercial dispute. Additionally, we have incurred some costs in connection with changes to our organization structure, with the goal of improving gross margins in the future. Selling, general and administrative expenses as a percentage of revenue increased to 15.5% during the three months ended June 30, 2020, compared to 9.1% for the three months ended June 30, 2019.</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1190"/>
        <w:gridCol w:w="1044"/>
        <w:gridCol w:w="1031"/>
        <w:gridCol w:w="109"/>
        <w:gridCol w:w="109"/>
        <w:gridCol w:w="109"/>
        <w:gridCol w:w="109"/>
        <w:gridCol w:w="109"/>
        <w:gridCol w:w="109"/>
        <w:gridCol w:w="413"/>
        <w:gridCol w:w="413"/>
        <w:gridCol w:w="146"/>
        <w:gridCol w:w="109"/>
        <w:gridCol w:w="109"/>
        <w:gridCol w:w="109"/>
        <w:gridCol w:w="308"/>
        <w:gridCol w:w="308"/>
        <w:gridCol w:w="146"/>
        <w:gridCol w:w="109"/>
        <w:gridCol w:w="109"/>
        <w:gridCol w:w="109"/>
        <w:gridCol w:w="109"/>
        <w:gridCol w:w="109"/>
        <w:gridCol w:w="109"/>
        <w:gridCol w:w="109"/>
        <w:gridCol w:w="109"/>
        <w:gridCol w:w="109"/>
        <w:gridCol w:w="413"/>
        <w:gridCol w:w="413"/>
        <w:gridCol w:w="146"/>
        <w:gridCol w:w="109"/>
        <w:gridCol w:w="109"/>
        <w:gridCol w:w="109"/>
        <w:gridCol w:w="308"/>
        <w:gridCol w:w="308"/>
        <w:gridCol w:w="146"/>
        <w:gridCol w:w="109"/>
        <w:gridCol w:w="109"/>
        <w:gridCol w:w="109"/>
        <w:gridCol w:w="109"/>
        <w:gridCol w:w="135"/>
        <w:gridCol w:w="136"/>
        <w:gridCol w:w="109"/>
        <w:gridCol w:w="109"/>
        <w:gridCol w:w="109"/>
        <w:gridCol w:w="109"/>
        <w:gridCol w:w="109"/>
        <w:gridCol w:w="109"/>
        <w:gridCol w:w="156"/>
      </w:tblGrid>
      <w:tr>
        <w:trPr/>
        <w:tc>
          <w:tcPr>
            <w:tcW w:w="1190"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5" w:type="dxa"/>
            <w:tcBorders/>
            <w:shd w:fill="auto" w:val="clear"/>
          </w:tcPr>
          <w:p>
            <w:pPr>
              <w:pStyle w:val="TableContents"/>
              <w:spacing w:before="0" w:after="283"/>
              <w:rPr>
                <w:sz w:val="4"/>
                <w:szCs w:val="4"/>
              </w:rPr>
            </w:pPr>
            <w:r>
              <w:rPr>
                <w:sz w:val="4"/>
                <w:szCs w:val="4"/>
              </w:rPr>
            </w:r>
          </w:p>
        </w:tc>
        <w:tc>
          <w:tcPr>
            <w:tcW w:w="136"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6" w:type="dxa"/>
            <w:tcBorders/>
            <w:shd w:fill="auto" w:val="clear"/>
          </w:tcPr>
          <w:p>
            <w:pPr>
              <w:pStyle w:val="TableContents"/>
              <w:spacing w:before="0" w:after="283"/>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7"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1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7"/>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9" w:type="dxa"/>
            <w:tcBorders/>
            <w:shd w:fill="auto" w:val="clear"/>
            <w:vAlign w:val="center"/>
          </w:tcPr>
          <w:p>
            <w:pPr>
              <w:pStyle w:val="TableContents"/>
              <w:spacing w:before="0" w:after="283"/>
              <w:rPr>
                <w:sz w:val="4"/>
                <w:szCs w:val="4"/>
              </w:rPr>
            </w:pPr>
            <w:r>
              <w:rPr>
                <w:sz w:val="4"/>
                <w:szCs w:val="4"/>
              </w:rPr>
            </w:r>
          </w:p>
        </w:tc>
        <w:tc>
          <w:tcPr>
            <w:tcW w:w="701" w:type="dxa"/>
            <w:gridSpan w:val="6"/>
            <w:tcBorders/>
            <w:shd w:fill="auto" w:val="clear"/>
          </w:tcPr>
          <w:p>
            <w:pPr>
              <w:pStyle w:val="TableContents"/>
              <w:spacing w:before="0" w:after="283"/>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0" w:type="dxa"/>
            <w:gridSpan w:val="30"/>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(Dollars in thousands, Percentage of revenues)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 w:type="dxa"/>
            <w:tcBorders/>
            <w:shd w:fill="auto" w:val="clear"/>
          </w:tcPr>
          <w:p>
            <w:pPr>
              <w:pStyle w:val="TableContents"/>
              <w:spacing w:before="0" w:after="283"/>
              <w:rPr>
                <w:sz w:val="4"/>
                <w:szCs w:val="4"/>
              </w:rPr>
            </w:pPr>
            <w:r>
              <w:rPr>
                <w:sz w:val="4"/>
                <w:szCs w:val="4"/>
              </w:rPr>
            </w:r>
          </w:p>
        </w:tc>
      </w:tr>
      <w:tr>
        <w:trPr/>
        <w:tc>
          <w:tcPr>
            <w:tcW w:w="326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190,481 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227,928 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0" w:type="dxa"/>
            <w:gridSpan w:val="10"/>
            <w:tcBorders/>
            <w:shd w:fill="auto" w:val="clear"/>
          </w:tcPr>
          <w:p>
            <w:pPr>
              <w:pStyle w:val="TableContents"/>
              <w:spacing w:before="0" w:after="283"/>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174,712 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91.7 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204,263 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89.6 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0" w:type="dxa"/>
            <w:gridSpan w:val="10"/>
            <w:tcBorders/>
            <w:shd w:fill="auto" w:val="clear"/>
          </w:tcPr>
          <w:p>
            <w:pPr>
              <w:pStyle w:val="TableContents"/>
              <w:spacing w:before="0" w:after="283"/>
              <w:rPr>
                <w:sz w:val="4"/>
                <w:szCs w:val="4"/>
              </w:rPr>
            </w:pPr>
            <w:r>
              <w:rPr>
                <w:sz w:val="4"/>
                <w:szCs w:val="4"/>
              </w:rPr>
            </w:r>
          </w:p>
        </w:tc>
      </w:tr>
      <w:tr>
        <w:trPr/>
        <w:tc>
          <w:tcPr>
            <w:tcW w:w="326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15,769 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23,665 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0" w:type="dxa"/>
            <w:gridSpan w:val="10"/>
            <w:tcBorders/>
            <w:shd w:fill="auto" w:val="clear"/>
          </w:tcPr>
          <w:p>
            <w:pPr>
              <w:pStyle w:val="TableContents"/>
              <w:spacing w:before="0" w:after="283"/>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24,660 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20,906 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0" w:type="dxa"/>
            <w:gridSpan w:val="10"/>
            <w:tcBorders/>
            <w:shd w:fill="auto" w:val="clear"/>
          </w:tcPr>
          <w:p>
            <w:pPr>
              <w:pStyle w:val="TableContents"/>
              <w:spacing w:before="0" w:after="283"/>
              <w:rPr>
                <w:sz w:val="4"/>
                <w:szCs w:val="4"/>
              </w:rPr>
            </w:pPr>
            <w:r>
              <w:rPr>
                <w:sz w:val="4"/>
                <w:szCs w:val="4"/>
              </w:rPr>
            </w:r>
          </w:p>
        </w:tc>
      </w:tr>
      <w:tr>
        <w:trPr/>
        <w:tc>
          <w:tcPr>
            <w:tcW w:w="326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0" w:type="dxa"/>
            <w:gridSpan w:val="10"/>
            <w:tcBorders/>
            <w:shd w:fill="auto" w:val="clear"/>
          </w:tcPr>
          <w:p>
            <w:pPr>
              <w:pStyle w:val="TableContents"/>
              <w:spacing w:before="0" w:after="283"/>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(8,857)</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4"/>
                <w:highlight w:val="white"/>
              </w:rPr>
            </w:pPr>
            <w:r>
              <w:rPr>
                <w:rFonts w:ascii="Times New Roman;sans-serif" w:hAnsi="Times New Roman;sans-serif"/>
                <w:b w:val="false"/>
                <w:color w:val="000000"/>
                <w:sz w:val="24"/>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2,767 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0" w:type="dxa"/>
            <w:gridSpan w:val="10"/>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jc w:val="both"/>
        <w:rPr/>
      </w:pPr>
      <w:r>
        <w:rPr>
          <w:rFonts w:ascii="Times New Roman;sans-serif" w:hAnsi="Times New Roman;sans-serif"/>
          <w:b w:val="false"/>
          <w:i/>
          <w:color w:val="000000"/>
          <w:sz w:val="20"/>
          <w:highlight w:val="white"/>
        </w:rPr>
        <w:t xml:space="preserve">Revenues. </w:t>
      </w:r>
      <w:r>
        <w:rPr>
          <w:rFonts w:ascii="Times New Roman;sans-serif" w:hAnsi="Times New Roman;sans-serif"/>
          <w:b w:val="false"/>
          <w:color w:val="000000"/>
          <w:sz w:val="20"/>
          <w:highlight w:val="white"/>
        </w:rPr>
        <w:t>Revenues in our Commercial &amp; Industrial segment decreased $37.4 million during the nine months ended June 30, 2020, a decrease of 16.4% compared to the nine months ended June 30, 2019. The decrease was largely driven by a reduction in time-and-material work, as well as lower demand for large, agricultural projects. The market for this segment’s services remains highly competitive, and disruptions caused by the COVID-19 pandemic have resulted in some delays in the awarding of new projects, as well as the progress of certain existing projects..</w:t>
      </w:r>
    </w:p>
    <w:p>
      <w:pPr>
        <w:pStyle w:val="TextBody"/>
        <w:spacing w:lineRule="auto" w:line="276" w:before="0" w:after="0"/>
        <w:jc w:val="both"/>
        <w:rPr/>
      </w:pPr>
      <w:r>
        <w:rPr>
          <w:rFonts w:ascii="Times New Roman;sans-serif" w:hAnsi="Times New Roman;sans-serif"/>
          <w:b w:val="false"/>
          <w:i/>
          <w:color w:val="000000"/>
          <w:sz w:val="20"/>
          <w:highlight w:val="white"/>
        </w:rPr>
        <w:t>Gross Profit</w:t>
      </w:r>
      <w:r>
        <w:rPr>
          <w:rFonts w:ascii="Times New Roman;sans-serif" w:hAnsi="Times New Roman;sans-serif"/>
          <w:b w:val="false"/>
          <w:color w:val="000000"/>
          <w:sz w:val="20"/>
          <w:highlight w:val="white"/>
        </w:rPr>
        <w:t xml:space="preserve">. Our Commercial &amp; Industrial segment’s gross profit during the nine months ended June 30, 2020 decreased by $7.9 million, or 33.4%, as compared to the nine months ended June 30, 2019, driven by certain project inefficiencies in the quarter ended June 30, 2020. As a percentage of revenue, gross profit decreased from 10.4% for the nine months ended June 30, 2019, to 8.3% for the nine months ended June 30, 2020 as a result of project execution difficulties, as well as some inefficiencies caused by schedule delays and employee turnover, in part related to disruptions caused by COVID-19. Gross profit margin was also affected by the reduction in volumes resulting in a higher rate of fixed overhead costs as a percentage of revenue. </w:t>
      </w:r>
    </w:p>
    <w:p>
      <w:pPr>
        <w:pStyle w:val="TextBody"/>
        <w:spacing w:before="0" w:after="0"/>
        <w:jc w:val="both"/>
        <w:rPr/>
      </w:pPr>
      <w:r>
        <w:rPr/>
      </w:r>
    </w:p>
    <w:p>
      <w:pPr>
        <w:pStyle w:val="TextBody"/>
        <w:spacing w:lineRule="auto" w:line="276" w:before="0" w:after="0"/>
        <w:rPr/>
      </w:pPr>
      <w:r>
        <w:rPr>
          <w:rFonts w:ascii="Times New Roman;sans-serif" w:hAnsi="Times New Roman;sans-serif"/>
          <w:b w:val="false"/>
          <w:i/>
          <w:color w:val="000000"/>
          <w:sz w:val="20"/>
          <w:highlight w:val="white"/>
        </w:rPr>
        <w:t xml:space="preserve">Selling, General and Administrative Expenses. </w:t>
      </w:r>
      <w:r>
        <w:rPr>
          <w:rFonts w:ascii="Times New Roman;sans-serif" w:hAnsi="Times New Roman;sans-serif"/>
          <w:b w:val="false"/>
          <w:color w:val="000000"/>
          <w:sz w:val="20"/>
          <w:highlight w:val="white"/>
        </w:rPr>
        <w:t xml:space="preserve">Our Commercial &amp; Industrial segment’s selling, general and administrative expenses during the nine months ended June 30, 2020 increased $3.8 million, or 18.0%, compared to the nine months ended June 30, 2019, as a result of an increase in the reserve for doubtful accounts related to a commercial dispute. Additionally, we have invested in improving our procurement process, and have incurred some costs in connection with changes to our organization structure, with the goal of improving gross margins in the future. Selling, general and administrative expenses as a percentage of revenue increased from 9.2% to 12.9%, a reflection of lower volume.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Communications</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263"/>
        <w:gridCol w:w="1108"/>
        <w:gridCol w:w="1105"/>
        <w:gridCol w:w="109"/>
        <w:gridCol w:w="109"/>
        <w:gridCol w:w="109"/>
        <w:gridCol w:w="109"/>
        <w:gridCol w:w="109"/>
        <w:gridCol w:w="109"/>
        <w:gridCol w:w="360"/>
        <w:gridCol w:w="361"/>
        <w:gridCol w:w="146"/>
        <w:gridCol w:w="109"/>
        <w:gridCol w:w="109"/>
        <w:gridCol w:w="109"/>
        <w:gridCol w:w="308"/>
        <w:gridCol w:w="308"/>
        <w:gridCol w:w="146"/>
        <w:gridCol w:w="109"/>
        <w:gridCol w:w="109"/>
        <w:gridCol w:w="109"/>
        <w:gridCol w:w="109"/>
        <w:gridCol w:w="109"/>
        <w:gridCol w:w="109"/>
        <w:gridCol w:w="109"/>
        <w:gridCol w:w="109"/>
        <w:gridCol w:w="109"/>
        <w:gridCol w:w="360"/>
        <w:gridCol w:w="361"/>
        <w:gridCol w:w="146"/>
        <w:gridCol w:w="109"/>
        <w:gridCol w:w="109"/>
        <w:gridCol w:w="109"/>
        <w:gridCol w:w="308"/>
        <w:gridCol w:w="308"/>
        <w:gridCol w:w="146"/>
        <w:gridCol w:w="109"/>
        <w:gridCol w:w="109"/>
        <w:gridCol w:w="109"/>
        <w:gridCol w:w="109"/>
        <w:gridCol w:w="135"/>
        <w:gridCol w:w="136"/>
        <w:gridCol w:w="109"/>
        <w:gridCol w:w="109"/>
        <w:gridCol w:w="109"/>
        <w:gridCol w:w="109"/>
        <w:gridCol w:w="109"/>
        <w:gridCol w:w="109"/>
        <w:gridCol w:w="155"/>
      </w:tblGrid>
      <w:tr>
        <w:trPr/>
        <w:tc>
          <w:tcPr>
            <w:tcW w:w="126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5" w:type="dxa"/>
            <w:tcBorders/>
            <w:shd w:fill="auto" w:val="clear"/>
          </w:tcPr>
          <w:p>
            <w:pPr>
              <w:pStyle w:val="TableContents"/>
              <w:spacing w:before="0" w:after="283"/>
              <w:rPr>
                <w:sz w:val="4"/>
                <w:szCs w:val="4"/>
              </w:rPr>
            </w:pPr>
            <w:r>
              <w:rPr>
                <w:sz w:val="4"/>
                <w:szCs w:val="4"/>
              </w:rPr>
            </w:r>
          </w:p>
        </w:tc>
        <w:tc>
          <w:tcPr>
            <w:tcW w:w="136"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7"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1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7"/>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9" w:type="dxa"/>
            <w:tcBorders/>
            <w:shd w:fill="auto" w:val="clear"/>
            <w:vAlign w:val="center"/>
          </w:tcPr>
          <w:p>
            <w:pPr>
              <w:pStyle w:val="TableContents"/>
              <w:spacing w:before="0" w:after="283"/>
              <w:rPr>
                <w:sz w:val="4"/>
                <w:szCs w:val="4"/>
              </w:rPr>
            </w:pPr>
            <w:r>
              <w:rPr>
                <w:sz w:val="4"/>
                <w:szCs w:val="4"/>
              </w:rPr>
            </w:r>
          </w:p>
        </w:tc>
        <w:tc>
          <w:tcPr>
            <w:tcW w:w="700" w:type="dxa"/>
            <w:gridSpan w:val="6"/>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7" w:type="dxa"/>
            <w:gridSpan w:val="3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(Dollars in thousands, Percentage of revenues)</w:t>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47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96,500 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90,438 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77,792 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75,044 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83.0 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18,708 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15,394 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17.0 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9,316 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8,406 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9,392 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6,988 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highlight w:val="white"/>
        </w:rPr>
        <w:t xml:space="preserve">Revenues. </w:t>
      </w:r>
      <w:r>
        <w:rPr>
          <w:rFonts w:ascii="Times New Roman;sans-serif" w:hAnsi="Times New Roman;sans-serif"/>
          <w:b w:val="false"/>
          <w:color w:val="000000"/>
          <w:sz w:val="20"/>
          <w:highlight w:val="white"/>
        </w:rPr>
        <w:t>Our Communications segment’s revenues increased by $6.1 million during the three months ended June 30, 2020, or 6.7%, compared to the three months ended June 30, 2019. The increase primarily resulted from increased demand driven by work on data centers and distribution centers.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highlight w:val="white"/>
        </w:rPr>
        <w:t xml:space="preserve">Gross Profit. </w:t>
      </w:r>
      <w:r>
        <w:rPr>
          <w:rFonts w:ascii="Times New Roman;sans-serif" w:hAnsi="Times New Roman;sans-serif"/>
          <w:b w:val="false"/>
          <w:color w:val="000000"/>
          <w:sz w:val="20"/>
          <w:highlight w:val="white"/>
        </w:rPr>
        <w:t xml:space="preserve">Our Communications segment’s gross profit during the three months ended June 30, 2020 increased by $3.3 million compared to the three months ended June 30, 2019. Gross profit as a percentage of revenue increased from 17.0% to 19.4% as our margins benefited from the impact of an increased volume of work on our fixed costs, as well as an increase in higher margin fixed-price contracts.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highlight w:val="white"/>
        </w:rPr>
        <w:t>Selling, General and Administrative Expenses.</w:t>
      </w:r>
      <w:r>
        <w:rPr>
          <w:color w:val="000000"/>
          <w:highlight w:val="white"/>
        </w:rPr>
        <w:t xml:space="preserve"> </w:t>
      </w:r>
      <w:r>
        <w:rPr>
          <w:rFonts w:ascii="Times New Roman;sans-serif" w:hAnsi="Times New Roman;sans-serif"/>
          <w:b w:val="false"/>
          <w:color w:val="000000"/>
          <w:sz w:val="20"/>
          <w:highlight w:val="white"/>
        </w:rPr>
        <w:t>Our Communications segment’s selling, general and administrative expenses increased by $0.9 million, or 10.8%, during the three months ended June 30, 2020, compared to the three months ended June 30, 2019. The increase is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 in the Communications segment were 9.7% during the three months ended June 30, 2020, compared to 9.3% for the three months ended June 30, 2019, as we have invested in the growth of our business.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1114"/>
        <w:gridCol w:w="977"/>
        <w:gridCol w:w="955"/>
        <w:gridCol w:w="109"/>
        <w:gridCol w:w="109"/>
        <w:gridCol w:w="109"/>
        <w:gridCol w:w="118"/>
        <w:gridCol w:w="118"/>
        <w:gridCol w:w="118"/>
        <w:gridCol w:w="413"/>
        <w:gridCol w:w="413"/>
        <w:gridCol w:w="158"/>
        <w:gridCol w:w="118"/>
        <w:gridCol w:w="118"/>
        <w:gridCol w:w="118"/>
        <w:gridCol w:w="308"/>
        <w:gridCol w:w="308"/>
        <w:gridCol w:w="158"/>
        <w:gridCol w:w="118"/>
        <w:gridCol w:w="118"/>
        <w:gridCol w:w="118"/>
        <w:gridCol w:w="118"/>
        <w:gridCol w:w="118"/>
        <w:gridCol w:w="118"/>
        <w:gridCol w:w="118"/>
        <w:gridCol w:w="118"/>
        <w:gridCol w:w="118"/>
        <w:gridCol w:w="413"/>
        <w:gridCol w:w="413"/>
        <w:gridCol w:w="158"/>
        <w:gridCol w:w="118"/>
        <w:gridCol w:w="118"/>
        <w:gridCol w:w="118"/>
        <w:gridCol w:w="308"/>
        <w:gridCol w:w="308"/>
        <w:gridCol w:w="158"/>
        <w:gridCol w:w="109"/>
        <w:gridCol w:w="109"/>
        <w:gridCol w:w="109"/>
        <w:gridCol w:w="109"/>
        <w:gridCol w:w="135"/>
        <w:gridCol w:w="136"/>
        <w:gridCol w:w="109"/>
        <w:gridCol w:w="109"/>
        <w:gridCol w:w="109"/>
        <w:gridCol w:w="109"/>
        <w:gridCol w:w="109"/>
        <w:gridCol w:w="109"/>
        <w:gridCol w:w="165"/>
      </w:tblGrid>
      <w:tr>
        <w:trPr/>
        <w:tc>
          <w:tcPr>
            <w:tcW w:w="111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5" w:type="dxa"/>
            <w:tcBorders/>
            <w:shd w:fill="auto" w:val="clear"/>
          </w:tcPr>
          <w:p>
            <w:pPr>
              <w:pStyle w:val="TableContents"/>
              <w:spacing w:before="0" w:after="283"/>
              <w:rPr>
                <w:sz w:val="4"/>
                <w:szCs w:val="4"/>
              </w:rPr>
            </w:pPr>
            <w:r>
              <w:rPr>
                <w:sz w:val="4"/>
                <w:szCs w:val="4"/>
              </w:rPr>
            </w:r>
          </w:p>
        </w:tc>
        <w:tc>
          <w:tcPr>
            <w:tcW w:w="136"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65" w:type="dxa"/>
            <w:tcBorders/>
            <w:shd w:fill="auto" w:val="clea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1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54"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7"/>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gridSpan w:val="2"/>
            <w:tcBorders/>
            <w:shd w:fill="auto" w:val="clea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54" w:type="dxa"/>
            <w:gridSpan w:val="3"/>
            <w:tcBorders/>
            <w:shd w:fill="auto" w:val="clear"/>
            <w:vAlign w:val="center"/>
          </w:tcPr>
          <w:p>
            <w:pPr>
              <w:pStyle w:val="TableContents"/>
              <w:spacing w:before="0" w:after="283"/>
              <w:rPr>
                <w:sz w:val="4"/>
                <w:szCs w:val="4"/>
              </w:rPr>
            </w:pPr>
            <w:r>
              <w:rPr>
                <w:sz w:val="4"/>
                <w:szCs w:val="4"/>
              </w:rPr>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9" w:type="dxa"/>
            <w:tcBorders/>
            <w:shd w:fill="auto" w:val="clear"/>
            <w:vAlign w:val="center"/>
          </w:tcPr>
          <w:p>
            <w:pPr>
              <w:pStyle w:val="TableContents"/>
              <w:spacing w:before="0" w:after="283"/>
              <w:rPr>
                <w:sz w:val="4"/>
                <w:szCs w:val="4"/>
              </w:rPr>
            </w:pPr>
            <w:r>
              <w:rPr>
                <w:sz w:val="4"/>
                <w:szCs w:val="4"/>
              </w:rPr>
            </w:r>
          </w:p>
        </w:tc>
        <w:tc>
          <w:tcPr>
            <w:tcW w:w="710" w:type="dxa"/>
            <w:gridSpan w:val="6"/>
            <w:tcBorders/>
            <w:shd w:fill="auto" w:val="clea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0" w:type="dxa"/>
            <w:gridSpan w:val="30"/>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(Dollars in thousands, Percentage of revenues)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5" w:type="dxa"/>
            <w:tcBorders/>
            <w:shd w:fill="auto" w:val="clea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276,779 </w:t>
            </w:r>
          </w:p>
        </w:tc>
        <w:tc>
          <w:tcPr>
            <w:tcW w:w="15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5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230,200 </w:t>
            </w:r>
          </w:p>
        </w:tc>
        <w:tc>
          <w:tcPr>
            <w:tcW w:w="15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5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9" w:type="dxa"/>
            <w:gridSpan w:val="10"/>
            <w:tcBorders/>
            <w:shd w:fill="auto" w:val="clea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225,866 </w:t>
            </w:r>
          </w:p>
        </w:tc>
        <w:tc>
          <w:tcPr>
            <w:tcW w:w="15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81.6 </w:t>
            </w:r>
          </w:p>
        </w:tc>
        <w:tc>
          <w:tcPr>
            <w:tcW w:w="15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190,895 </w:t>
            </w:r>
          </w:p>
        </w:tc>
        <w:tc>
          <w:tcPr>
            <w:tcW w:w="15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82.9 </w:t>
            </w:r>
          </w:p>
        </w:tc>
        <w:tc>
          <w:tcPr>
            <w:tcW w:w="15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9" w:type="dxa"/>
            <w:gridSpan w:val="10"/>
            <w:tcBorders/>
            <w:shd w:fill="auto" w:val="clea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50,913 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39,305 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17.1 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9" w:type="dxa"/>
            <w:gridSpan w:val="10"/>
            <w:tcBorders/>
            <w:shd w:fill="auto" w:val="clea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27,304 </w:t>
            </w:r>
          </w:p>
        </w:tc>
        <w:tc>
          <w:tcPr>
            <w:tcW w:w="15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9.9 </w:t>
            </w:r>
          </w:p>
        </w:tc>
        <w:tc>
          <w:tcPr>
            <w:tcW w:w="15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23,006 </w:t>
            </w:r>
          </w:p>
        </w:tc>
        <w:tc>
          <w:tcPr>
            <w:tcW w:w="15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10.0 </w:t>
            </w:r>
          </w:p>
        </w:tc>
        <w:tc>
          <w:tcPr>
            <w:tcW w:w="158"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9" w:type="dxa"/>
            <w:gridSpan w:val="10"/>
            <w:tcBorders/>
            <w:shd w:fill="auto" w:val="clear"/>
          </w:tcPr>
          <w:p>
            <w:pPr>
              <w:pStyle w:val="TableContents"/>
              <w:spacing w:before="0" w:after="283"/>
              <w:rPr>
                <w:sz w:val="4"/>
                <w:szCs w:val="4"/>
              </w:rPr>
            </w:pPr>
            <w:r>
              <w:rPr>
                <w:sz w:val="4"/>
                <w:szCs w:val="4"/>
              </w:rPr>
            </w:r>
          </w:p>
        </w:tc>
      </w:tr>
      <w:tr>
        <w:trPr/>
        <w:tc>
          <w:tcPr>
            <w:tcW w:w="304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w:t>
            </w:r>
          </w:p>
        </w:tc>
        <w:tc>
          <w:tcPr>
            <w:tcW w:w="15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5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5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58"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9" w:type="dxa"/>
            <w:gridSpan w:val="10"/>
            <w:tcBorders/>
            <w:shd w:fill="auto" w:val="clear"/>
          </w:tcPr>
          <w:p>
            <w:pPr>
              <w:pStyle w:val="TableContents"/>
              <w:spacing w:before="0" w:after="283"/>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23,618 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16,299 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99" w:type="dxa"/>
            <w:gridSpan w:val="10"/>
            <w:tcBorders/>
            <w:shd w:fill="auto" w:val="clea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highlight w:val="white"/>
        </w:rPr>
        <w:t xml:space="preserve">Revenues. </w:t>
      </w:r>
      <w:r>
        <w:rPr>
          <w:rFonts w:ascii="Times New Roman;sans-serif" w:hAnsi="Times New Roman;sans-serif"/>
          <w:b w:val="false"/>
          <w:color w:val="000000"/>
          <w:sz w:val="20"/>
          <w:highlight w:val="white"/>
        </w:rPr>
        <w:t xml:space="preserve">Our Communications segment's revenues increased by $46.6 million during the nine months ended June 30, 2020, or 20.2% compared to the nine months ended June 30, 2019. The increase primarily resulted from increased demand from our data center and distribution center customers.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highlight w:val="white"/>
        </w:rPr>
        <w:t xml:space="preserve">Gross Profit. </w:t>
      </w:r>
      <w:r>
        <w:rPr>
          <w:rFonts w:ascii="Times New Roman;sans-serif" w:hAnsi="Times New Roman;sans-serif"/>
          <w:b w:val="false"/>
          <w:color w:val="000000"/>
          <w:sz w:val="20"/>
          <w:highlight w:val="white"/>
        </w:rPr>
        <w:t>Our Communications segment’s gross profit during the nine months ended June 30, 2020 increased $11.6 million, or 29.5%, as compared to the nine months ended June 30, 2019. Gross profit as a percentage of revenue increased from 17.1% to 18.4%, as our margins benefited from the impact of an increased volume of work on our fixed costs, as well as an increase in higher margin fixed-price contracts.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highlight w:val="white"/>
        </w:rPr>
        <w:t>Selling, General and Administrative Expenses.</w:t>
      </w:r>
      <w:r>
        <w:rPr>
          <w:color w:val="000000"/>
          <w:highlight w:val="white"/>
        </w:rPr>
        <w:t xml:space="preserve"> </w:t>
      </w:r>
      <w:r>
        <w:rPr>
          <w:rFonts w:ascii="Times New Roman;sans-serif" w:hAnsi="Times New Roman;sans-serif"/>
          <w:b w:val="false"/>
          <w:color w:val="000000"/>
          <w:sz w:val="20"/>
          <w:highlight w:val="white"/>
        </w:rPr>
        <w:t>Our Communications segment’s selling, general and administrative expenses increased $4.3 million, or 18.7%, during the nine months ended June 30, 2020, compared to the nine months ended June 30, 2019. The increase was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revenues in the Communications segment decreased marginally from 10.0% to 9.9% of segment revenue during the nine months ended June 30, 2020, compared to the nine months ended June 30, 2019.</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Infrastructure Solutions</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263"/>
        <w:gridCol w:w="1108"/>
        <w:gridCol w:w="1105"/>
        <w:gridCol w:w="109"/>
        <w:gridCol w:w="109"/>
        <w:gridCol w:w="109"/>
        <w:gridCol w:w="109"/>
        <w:gridCol w:w="109"/>
        <w:gridCol w:w="109"/>
        <w:gridCol w:w="360"/>
        <w:gridCol w:w="361"/>
        <w:gridCol w:w="146"/>
        <w:gridCol w:w="109"/>
        <w:gridCol w:w="109"/>
        <w:gridCol w:w="109"/>
        <w:gridCol w:w="308"/>
        <w:gridCol w:w="308"/>
        <w:gridCol w:w="146"/>
        <w:gridCol w:w="109"/>
        <w:gridCol w:w="109"/>
        <w:gridCol w:w="109"/>
        <w:gridCol w:w="109"/>
        <w:gridCol w:w="109"/>
        <w:gridCol w:w="109"/>
        <w:gridCol w:w="109"/>
        <w:gridCol w:w="109"/>
        <w:gridCol w:w="109"/>
        <w:gridCol w:w="360"/>
        <w:gridCol w:w="361"/>
        <w:gridCol w:w="146"/>
        <w:gridCol w:w="109"/>
        <w:gridCol w:w="109"/>
        <w:gridCol w:w="109"/>
        <w:gridCol w:w="308"/>
        <w:gridCol w:w="308"/>
        <w:gridCol w:w="146"/>
        <w:gridCol w:w="109"/>
        <w:gridCol w:w="109"/>
        <w:gridCol w:w="109"/>
        <w:gridCol w:w="109"/>
        <w:gridCol w:w="135"/>
        <w:gridCol w:w="136"/>
        <w:gridCol w:w="109"/>
        <w:gridCol w:w="109"/>
        <w:gridCol w:w="109"/>
        <w:gridCol w:w="109"/>
        <w:gridCol w:w="109"/>
        <w:gridCol w:w="109"/>
        <w:gridCol w:w="155"/>
      </w:tblGrid>
      <w:tr>
        <w:trPr/>
        <w:tc>
          <w:tcPr>
            <w:tcW w:w="126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5" w:type="dxa"/>
            <w:tcBorders/>
            <w:shd w:fill="auto" w:val="clear"/>
          </w:tcPr>
          <w:p>
            <w:pPr>
              <w:pStyle w:val="TableContents"/>
              <w:spacing w:before="0" w:after="283"/>
              <w:rPr>
                <w:sz w:val="4"/>
                <w:szCs w:val="4"/>
              </w:rPr>
            </w:pPr>
            <w:r>
              <w:rPr>
                <w:sz w:val="4"/>
                <w:szCs w:val="4"/>
              </w:rPr>
            </w:r>
          </w:p>
        </w:tc>
        <w:tc>
          <w:tcPr>
            <w:tcW w:w="136"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7"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1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7"/>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9" w:type="dxa"/>
            <w:tcBorders/>
            <w:shd w:fill="auto" w:val="clear"/>
            <w:vAlign w:val="center"/>
          </w:tcPr>
          <w:p>
            <w:pPr>
              <w:pStyle w:val="TableContents"/>
              <w:spacing w:before="0" w:after="283"/>
              <w:rPr>
                <w:sz w:val="4"/>
                <w:szCs w:val="4"/>
              </w:rPr>
            </w:pPr>
            <w:r>
              <w:rPr>
                <w:sz w:val="4"/>
                <w:szCs w:val="4"/>
              </w:rPr>
            </w:r>
          </w:p>
        </w:tc>
        <w:tc>
          <w:tcPr>
            <w:tcW w:w="700" w:type="dxa"/>
            <w:gridSpan w:val="6"/>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0" w:type="dxa"/>
            <w:gridSpan w:val="30"/>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(Dollars in thousands, Percentage of revenues)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rPr>
                <w:sz w:val="4"/>
                <w:szCs w:val="4"/>
              </w:rPr>
            </w:pPr>
            <w:r>
              <w:rPr>
                <w:sz w:val="4"/>
                <w:szCs w:val="4"/>
              </w:rPr>
            </w:r>
          </w:p>
        </w:tc>
      </w:tr>
      <w:tr>
        <w:trPr/>
        <w:tc>
          <w:tcPr>
            <w:tcW w:w="347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31,942 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36,109 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22,609 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70.8 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27,671 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76.6 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9,333 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29.2 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8,438 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5,512 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17.3 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4,937 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13.7 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(163)</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(0.5)</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Loss on sale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476"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3,818 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3,668 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highlight w:val="white"/>
        </w:rPr>
        <w:t xml:space="preserve">Revenues. </w:t>
      </w:r>
      <w:r>
        <w:rPr>
          <w:rFonts w:ascii="Times New Roman;sans-serif" w:hAnsi="Times New Roman;sans-serif"/>
          <w:b w:val="false"/>
          <w:color w:val="000000"/>
          <w:sz w:val="20"/>
          <w:highlight w:val="white"/>
        </w:rPr>
        <w:t>Revenues in our Infrastructure Solutions segment decreased $4.2 million during the three months ended June 30, 2020, a decrease of 11.5% compared to the three months ended June 30, 2019. The decrease in revenue was driven primarily by the timing of project schedules at certain of our large customers in the current year, compared to unusually strong demand in the prior year. Our newly acquired Power Plant &amp; Control Systems, LLC ("PPCS") business contributed $4.3 million in revenue during the three months ended June 30, 2020.</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highlight w:val="white"/>
        </w:rPr>
        <w:t>Gross Profit</w:t>
      </w:r>
      <w:r>
        <w:rPr>
          <w:rFonts w:ascii="Times New Roman;sans-serif" w:hAnsi="Times New Roman;sans-serif"/>
          <w:b w:val="false"/>
          <w:color w:val="000000"/>
          <w:sz w:val="20"/>
          <w:highlight w:val="white"/>
        </w:rPr>
        <w:t xml:space="preserve">. Our Infrastructure Solutions segment’s gross profit during the three months ended June 30, 2020 increased $0.9 million as compared to the three months ended June 30, 2019, primarily as a result of improved overall operational efficiencies. Gross profit as a percentage of revenue increased from 23.4% to 29.2%, as we benefited from improved operational efficiencies. </w:t>
      </w:r>
    </w:p>
    <w:p>
      <w:pPr>
        <w:pStyle w:val="TextBody"/>
        <w:spacing w:lineRule="auto" w:line="288" w:before="0" w:after="0"/>
        <w:jc w:val="both"/>
        <w:rPr/>
      </w:pPr>
      <w:r>
        <w:rPr>
          <w:rFonts w:ascii="Times New Roman;sans-serif" w:hAnsi="Times New Roman;sans-serif"/>
          <w:b w:val="false"/>
          <w:i/>
          <w:color w:val="000000"/>
          <w:sz w:val="20"/>
          <w:highlight w:val="white"/>
        </w:rPr>
        <w:t xml:space="preserve">Selling, General and Administrative Expenses. </w:t>
      </w:r>
      <w:r>
        <w:rPr>
          <w:rFonts w:ascii="Times New Roman;sans-serif" w:hAnsi="Times New Roman;sans-serif"/>
          <w:b w:val="false"/>
          <w:color w:val="000000"/>
          <w:sz w:val="20"/>
          <w:highlight w:val="white"/>
        </w:rPr>
        <w:t>Our Infrastructure Solutions segment’s selling, general and administrative expenses during the three months ended June 30, 2020 increased $0.6 million when compared to the three months ended June 30, 2019, primarily as a result of expense incurred at PPCS, including amortization of intangible assets. Selling, general and administrative expense as a percent of revenue increased from 13.7% to 17.3%, a reflection of the decrease in volume and increase in amortization expense.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32</w:t>
                      </w:r>
                    </w:p>
                  </w:txbxContent>
                </v:textbox>
              </v:rect>
            </w:pict>
          </mc:Fallback>
        </mc:AlternateContent>
      </w:r>
    </w:p>
    <w:p>
      <w:pPr>
        <w:pStyle w:val="TextBody"/>
        <w:spacing w:before="0" w:after="0"/>
        <w:rPr/>
      </w:pPr>
      <w:r>
        <w:rPr/>
      </w:r>
    </w:p>
    <w:p>
      <w:pPr>
        <w:pStyle w:val="TextBody"/>
        <w:spacing w:before="0" w:after="0"/>
        <w:jc w:val="both"/>
        <w:rPr/>
      </w:pPr>
      <w:r>
        <w:rPr/>
      </w:r>
    </w:p>
    <w:tbl>
      <w:tblPr>
        <w:tblW w:w="10539" w:type="dxa"/>
        <w:jc w:val="center"/>
        <w:tblInd w:w="0" w:type="dxa"/>
        <w:tblCellMar>
          <w:top w:w="28" w:type="dxa"/>
          <w:left w:w="28" w:type="dxa"/>
          <w:bottom w:w="28" w:type="dxa"/>
          <w:right w:w="28" w:type="dxa"/>
        </w:tblCellMar>
      </w:tblPr>
      <w:tblGrid>
        <w:gridCol w:w="1227"/>
        <w:gridCol w:w="1076"/>
        <w:gridCol w:w="1068"/>
        <w:gridCol w:w="109"/>
        <w:gridCol w:w="109"/>
        <w:gridCol w:w="109"/>
        <w:gridCol w:w="109"/>
        <w:gridCol w:w="109"/>
        <w:gridCol w:w="109"/>
        <w:gridCol w:w="360"/>
        <w:gridCol w:w="361"/>
        <w:gridCol w:w="146"/>
        <w:gridCol w:w="109"/>
        <w:gridCol w:w="109"/>
        <w:gridCol w:w="109"/>
        <w:gridCol w:w="308"/>
        <w:gridCol w:w="308"/>
        <w:gridCol w:w="146"/>
        <w:gridCol w:w="109"/>
        <w:gridCol w:w="109"/>
        <w:gridCol w:w="109"/>
        <w:gridCol w:w="109"/>
        <w:gridCol w:w="109"/>
        <w:gridCol w:w="109"/>
        <w:gridCol w:w="109"/>
        <w:gridCol w:w="109"/>
        <w:gridCol w:w="109"/>
        <w:gridCol w:w="413"/>
        <w:gridCol w:w="413"/>
        <w:gridCol w:w="146"/>
        <w:gridCol w:w="109"/>
        <w:gridCol w:w="109"/>
        <w:gridCol w:w="109"/>
        <w:gridCol w:w="308"/>
        <w:gridCol w:w="308"/>
        <w:gridCol w:w="146"/>
        <w:gridCol w:w="109"/>
        <w:gridCol w:w="109"/>
        <w:gridCol w:w="109"/>
        <w:gridCol w:w="109"/>
        <w:gridCol w:w="135"/>
        <w:gridCol w:w="136"/>
        <w:gridCol w:w="109"/>
        <w:gridCol w:w="109"/>
        <w:gridCol w:w="109"/>
        <w:gridCol w:w="109"/>
        <w:gridCol w:w="109"/>
        <w:gridCol w:w="109"/>
        <w:gridCol w:w="155"/>
      </w:tblGrid>
      <w:tr>
        <w:trPr/>
        <w:tc>
          <w:tcPr>
            <w:tcW w:w="1227"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5" w:type="dxa"/>
            <w:tcBorders/>
            <w:shd w:fill="auto" w:val="clear"/>
          </w:tcPr>
          <w:p>
            <w:pPr>
              <w:pStyle w:val="TableContents"/>
              <w:spacing w:before="0" w:after="283"/>
              <w:rPr>
                <w:sz w:val="4"/>
                <w:szCs w:val="4"/>
              </w:rPr>
            </w:pPr>
            <w:r>
              <w:rPr>
                <w:sz w:val="4"/>
                <w:szCs w:val="4"/>
              </w:rPr>
            </w:r>
          </w:p>
        </w:tc>
        <w:tc>
          <w:tcPr>
            <w:tcW w:w="136"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2"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1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7"/>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9" w:type="dxa"/>
            <w:tcBorders/>
            <w:shd w:fill="auto" w:val="clear"/>
            <w:vAlign w:val="center"/>
          </w:tcPr>
          <w:p>
            <w:pPr>
              <w:pStyle w:val="TableContents"/>
              <w:spacing w:before="0" w:after="283"/>
              <w:rPr>
                <w:sz w:val="4"/>
                <w:szCs w:val="4"/>
              </w:rPr>
            </w:pPr>
            <w:r>
              <w:rPr>
                <w:sz w:val="4"/>
                <w:szCs w:val="4"/>
              </w:rPr>
            </w:r>
          </w:p>
        </w:tc>
        <w:tc>
          <w:tcPr>
            <w:tcW w:w="700" w:type="dxa"/>
            <w:gridSpan w:val="6"/>
            <w:tcBorders/>
            <w:shd w:fill="auto" w:val="clear"/>
          </w:tcPr>
          <w:p>
            <w:pPr>
              <w:pStyle w:val="TableContents"/>
              <w:spacing w:before="0" w:after="283"/>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2" w:type="dxa"/>
            <w:gridSpan w:val="3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(Dollars in thousands, Percentage of revenues)</w:t>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37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92,525 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100,038 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68,177 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73.7 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78,227 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78.2 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37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24,348 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21,811 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14,923 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14,103 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37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(278)</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(0.3)</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Loss on sale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r>
        <w:trPr/>
        <w:tc>
          <w:tcPr>
            <w:tcW w:w="337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9,422 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7,889 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189" w:type="dxa"/>
            <w:gridSpan w:val="10"/>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jc w:val="both"/>
        <w:rPr/>
      </w:pPr>
      <w:r>
        <w:rPr>
          <w:rFonts w:ascii="Times New Roman;sans-serif" w:hAnsi="Times New Roman;sans-serif"/>
          <w:b w:val="false"/>
          <w:i/>
          <w:color w:val="000000"/>
          <w:sz w:val="20"/>
          <w:highlight w:val="white"/>
        </w:rPr>
        <w:t xml:space="preserve">Revenues. </w:t>
      </w:r>
      <w:r>
        <w:rPr>
          <w:rFonts w:ascii="Times New Roman;sans-serif" w:hAnsi="Times New Roman;sans-serif"/>
          <w:b w:val="false"/>
          <w:color w:val="000000"/>
          <w:sz w:val="20"/>
          <w:highlight w:val="white"/>
        </w:rPr>
        <w:t>Revenues in our Infrastructure Solutions segment decreased $7.5 million, or 7.5% during the nine months ended June 30, 2020 compared to the nine months ended June 30, 2019. The decrease in revenue was driven primarily by the timing of project schedules at certain of our large customers, compared to unusually strong demand in the prior year. Our newly acquired PPCS business contributed $7.5 million in revenue subsequent to our acquisition of the business in February 2020.</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highlight w:val="white"/>
        </w:rPr>
        <w:t>Gross Profit</w:t>
      </w:r>
      <w:r>
        <w:rPr>
          <w:rFonts w:ascii="Times New Roman;sans-serif" w:hAnsi="Times New Roman;sans-serif"/>
          <w:b w:val="false"/>
          <w:color w:val="000000"/>
          <w:sz w:val="20"/>
          <w:highlight w:val="white"/>
        </w:rPr>
        <w:t xml:space="preserve">. Our Infrastructure Solutions segment’s gross profit during the nine months ended June 30, 2020 increased $2.5 million as compared to the nine months ended June 30, 2019, primarily as a result of improved overall operational efficiencies. Gross profit as a percentage of revenues increased 4.5% to 26.3% for the nine months ended June 30, 2020, largely as the result of those efficiencies, as management has continued to focus on procurement, engineering, and quality.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highlight w:val="white"/>
        </w:rPr>
        <w:t xml:space="preserve">Selling, General and Administrative Expenses. </w:t>
      </w:r>
      <w:r>
        <w:rPr>
          <w:rFonts w:ascii="Times New Roman;sans-serif" w:hAnsi="Times New Roman;sans-serif"/>
          <w:b w:val="false"/>
          <w:color w:val="000000"/>
          <w:sz w:val="20"/>
          <w:highlight w:val="white"/>
        </w:rPr>
        <w:t>Our Infrastructure Solutions segment’s selling, general and administrative expenses during the nine months ended June 30, 2020 increased $0.8 million compared to the nine months ended June 30, 2019, primarily as a result of expense incurred at PPCS, including amortization of intangible assets. Selling, general and administrative expense as a percent of revenue increased from 14.1% for the nine months ended June 30, 2019 to 16.1% for the nine months ended June 30, 2020, as a result of lower volume and the increase in amortization expense.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Residential</w:t>
      </w:r>
    </w:p>
    <w:p>
      <w:pPr>
        <w:pStyle w:val="TextBody"/>
        <w:spacing w:before="0" w:after="0"/>
        <w:rPr/>
      </w:pPr>
      <w:r>
        <w:rPr/>
      </w:r>
    </w:p>
    <w:tbl>
      <w:tblPr>
        <w:tblW w:w="10399" w:type="dxa"/>
        <w:jc w:val="center"/>
        <w:tblInd w:w="0" w:type="dxa"/>
        <w:tblCellMar>
          <w:top w:w="28" w:type="dxa"/>
          <w:left w:w="28" w:type="dxa"/>
          <w:bottom w:w="28" w:type="dxa"/>
          <w:right w:w="28" w:type="dxa"/>
        </w:tblCellMar>
      </w:tblPr>
      <w:tblGrid>
        <w:gridCol w:w="1353"/>
        <w:gridCol w:w="1187"/>
        <w:gridCol w:w="1195"/>
        <w:gridCol w:w="109"/>
        <w:gridCol w:w="109"/>
        <w:gridCol w:w="109"/>
        <w:gridCol w:w="211"/>
        <w:gridCol w:w="826"/>
        <w:gridCol w:w="146"/>
        <w:gridCol w:w="109"/>
        <w:gridCol w:w="109"/>
        <w:gridCol w:w="109"/>
        <w:gridCol w:w="308"/>
        <w:gridCol w:w="308"/>
        <w:gridCol w:w="146"/>
        <w:gridCol w:w="109"/>
        <w:gridCol w:w="109"/>
        <w:gridCol w:w="109"/>
        <w:gridCol w:w="109"/>
        <w:gridCol w:w="109"/>
        <w:gridCol w:w="109"/>
        <w:gridCol w:w="211"/>
        <w:gridCol w:w="721"/>
        <w:gridCol w:w="146"/>
        <w:gridCol w:w="109"/>
        <w:gridCol w:w="109"/>
        <w:gridCol w:w="109"/>
        <w:gridCol w:w="308"/>
        <w:gridCol w:w="308"/>
        <w:gridCol w:w="146"/>
        <w:gridCol w:w="109"/>
        <w:gridCol w:w="109"/>
        <w:gridCol w:w="109"/>
        <w:gridCol w:w="109"/>
        <w:gridCol w:w="109"/>
        <w:gridCol w:w="109"/>
        <w:gridCol w:w="109"/>
        <w:gridCol w:w="109"/>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0" w:type="dxa"/>
            <w:gridSpan w:val="27"/>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9"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0" w:type="dxa"/>
            <w:gridSpan w:val="27"/>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(Dollars in thousands, Percentage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107,905 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21"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80,716 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82,192 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76.2 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64,350 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79.7 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25,713 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16,366 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16,767 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15.5 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11,812 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8,946 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4,554 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highlight w:val="white"/>
        </w:rPr>
        <w:t xml:space="preserve">Revenues. </w:t>
      </w:r>
      <w:r>
        <w:rPr>
          <w:rFonts w:ascii="Times New Roman;sans-serif" w:hAnsi="Times New Roman;sans-serif"/>
          <w:b w:val="false"/>
          <w:color w:val="000000"/>
          <w:sz w:val="20"/>
          <w:highlight w:val="white"/>
        </w:rPr>
        <w:t>Our Residential segment’s revenues increased by $27.2 million, or 33.7% during the three months ended June 30, 2020 compared to the three months ended June 30, 2019. The increase was driven by our multi-family business, where revenues increased by $15.9 million for the three months ended June 30, 2020, compared with the three months ended June 30, 2019. Single-family revenue also increased by $7.9 million. Our newly acquired Aerial Lighting &amp; Electric, Inc. ("Aerial") business, with operations in the Northeastern US affected by COVID-19, contributed $3.4 million in revenue during the three months ended June 30, 2020.</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highlight w:val="white"/>
        </w:rPr>
        <w:t xml:space="preserve">Gross Profit. </w:t>
      </w:r>
      <w:r>
        <w:rPr>
          <w:rFonts w:ascii="Times New Roman;sans-serif" w:hAnsi="Times New Roman;sans-serif"/>
          <w:b w:val="false"/>
          <w:color w:val="000000"/>
          <w:sz w:val="20"/>
          <w:highlight w:val="white"/>
        </w:rPr>
        <w:t>During the three months ended June 30, 2020, our Residential segment's gross profit increased by $9.3 million, or 57.1%, as compared to the three months ended June 30, 2019. The increase in gross profit was driven primarily by higher volumes and favorable commodity prices. Gross profit as a percentage of revenue increased to 23.8% during the three months ended June 30, 2020, from 20.3% the three months ended June 30, 2019, as we benefited from the increased scale of our operations and a reduction in commodity prices.</w:t>
      </w:r>
    </w:p>
    <w:p>
      <w:pPr>
        <w:pStyle w:val="TextBody"/>
        <w:spacing w:lineRule="auto" w:line="288" w:before="0" w:after="0"/>
        <w:jc w:val="both"/>
        <w:rPr/>
      </w:pPr>
      <w:r>
        <w:rPr>
          <w:rFonts w:ascii="Times New Roman;sans-serif" w:hAnsi="Times New Roman;sans-serif"/>
          <w:b w:val="false"/>
          <w:i/>
          <w:color w:val="000000"/>
          <w:sz w:val="20"/>
          <w:highlight w:val="white"/>
        </w:rPr>
        <w:t>Selling, General and Administrative Expenses.</w:t>
      </w:r>
      <w:r>
        <w:rPr>
          <w:color w:val="000000"/>
          <w:highlight w:val="white"/>
        </w:rPr>
        <w:t xml:space="preserve"> </w:t>
      </w:r>
      <w:r>
        <w:rPr>
          <w:rFonts w:ascii="Times New Roman;sans-serif" w:hAnsi="Times New Roman;sans-serif"/>
          <w:b w:val="false"/>
          <w:color w:val="000000"/>
          <w:sz w:val="20"/>
          <w:highlight w:val="white"/>
        </w:rPr>
        <w:t xml:space="preserve">Our Residential segment's selling, general and administrative expense increased by $5.0 million, or 41.9%, during the three months ended June 30, 2020, compared to the three months ended June 30, 2019, primarily as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result of higher incentive compensation expense in connection with higher profitability and cash flows. Selling, general and administrative expenses as a percentage of revenue in the Residential segment increased to 15.5% of segment revenue during the three months ended June 30, 2020, compared to 14.6% in the three months ended June 30, 2019.</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tbl>
      <w:tblPr>
        <w:tblW w:w="10504" w:type="dxa"/>
        <w:jc w:val="center"/>
        <w:tblInd w:w="0" w:type="dxa"/>
        <w:tblCellMar>
          <w:top w:w="28" w:type="dxa"/>
          <w:left w:w="28" w:type="dxa"/>
          <w:bottom w:w="28" w:type="dxa"/>
          <w:right w:w="28" w:type="dxa"/>
        </w:tblCellMar>
      </w:tblPr>
      <w:tblGrid>
        <w:gridCol w:w="1353"/>
        <w:gridCol w:w="1187"/>
        <w:gridCol w:w="1195"/>
        <w:gridCol w:w="109"/>
        <w:gridCol w:w="109"/>
        <w:gridCol w:w="109"/>
        <w:gridCol w:w="211"/>
        <w:gridCol w:w="826"/>
        <w:gridCol w:w="146"/>
        <w:gridCol w:w="109"/>
        <w:gridCol w:w="109"/>
        <w:gridCol w:w="109"/>
        <w:gridCol w:w="308"/>
        <w:gridCol w:w="308"/>
        <w:gridCol w:w="146"/>
        <w:gridCol w:w="109"/>
        <w:gridCol w:w="109"/>
        <w:gridCol w:w="109"/>
        <w:gridCol w:w="109"/>
        <w:gridCol w:w="109"/>
        <w:gridCol w:w="109"/>
        <w:gridCol w:w="211"/>
        <w:gridCol w:w="826"/>
        <w:gridCol w:w="146"/>
        <w:gridCol w:w="109"/>
        <w:gridCol w:w="109"/>
        <w:gridCol w:w="109"/>
        <w:gridCol w:w="308"/>
        <w:gridCol w:w="308"/>
        <w:gridCol w:w="146"/>
        <w:gridCol w:w="109"/>
        <w:gridCol w:w="109"/>
        <w:gridCol w:w="109"/>
        <w:gridCol w:w="109"/>
        <w:gridCol w:w="109"/>
        <w:gridCol w:w="109"/>
        <w:gridCol w:w="109"/>
        <w:gridCol w:w="109"/>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5" w:type="dxa"/>
            <w:gridSpan w:val="27"/>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9"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5" w:type="dxa"/>
            <w:gridSpan w:val="27"/>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(Dollars in thousands, Percentage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300,660 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826" w:type="dxa"/>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225,223 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100.0 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231,891 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77.1 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178,771 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79.4 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68,769 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46,452 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46,241 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15.4 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34,136 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15.2 </w:t>
            </w:r>
          </w:p>
        </w:tc>
        <w:tc>
          <w:tcPr>
            <w:tcW w:w="14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4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22,528 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12,318 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17" w:type="dxa"/>
            <w:gridSpan w:val="8"/>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highlight w:val="white"/>
        </w:rPr>
        <w:t xml:space="preserve">Revenues. </w:t>
      </w:r>
      <w:r>
        <w:rPr>
          <w:rFonts w:ascii="Times New Roman;sans-serif" w:hAnsi="Times New Roman;sans-serif"/>
          <w:b w:val="false"/>
          <w:color w:val="000000"/>
          <w:sz w:val="20"/>
          <w:highlight w:val="white"/>
        </w:rPr>
        <w:t>Our Residential segment's revenues increased by $75.4 million or 33.5% during the nine months ended June 30, 2020 compared to the nine months ended June 30, 2019. The increase was driven by our multi-family business, where revenues increased by $49.3 million for the nine months ended June 30, 2020, compared with the nine months ended June 30, 2019. Single-family revenue also increased by $19.8 million. Our newly acquired Aerial business, with operations in the Northeastern US affected by COVID-19, contributed $5.1 million in revenue subsequent to our acquisition of the business in February 2020.</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highlight w:val="white"/>
        </w:rPr>
        <w:t>Gross Profit.</w:t>
      </w:r>
      <w:r>
        <w:rPr>
          <w:color w:val="000000"/>
          <w:highlight w:val="white"/>
        </w:rPr>
        <w:t xml:space="preserve"> </w:t>
      </w:r>
      <w:r>
        <w:rPr>
          <w:rFonts w:ascii="Times New Roman;sans-serif" w:hAnsi="Times New Roman;sans-serif"/>
          <w:b w:val="false"/>
          <w:color w:val="000000"/>
          <w:sz w:val="20"/>
          <w:highlight w:val="white"/>
        </w:rPr>
        <w:t xml:space="preserve">During the nine months ended June 30, 2020, our Residential segment's gross profit increased by $22.3 million, or 48.0%, as compared to the nine months ended June 30, 2019. The increase in gross profit was driven primarily by higher volumes, but also benefited from improved commodity prices. Gross margin as a percentage of revenue increased to 22.9% during the nine months ended June 30, 2020, from 20.6% during the nine months ended June 30, 2019, as we benefited from improved commodity prices and the increased scale of our operations. </w:t>
      </w:r>
    </w:p>
    <w:p>
      <w:pPr>
        <w:pStyle w:val="TextBody"/>
        <w:spacing w:lineRule="auto" w:line="288" w:before="0" w:after="0"/>
        <w:jc w:val="both"/>
        <w:rPr/>
      </w:pPr>
      <w:r>
        <w:rPr>
          <w:rFonts w:ascii="Times New Roman;sans-serif" w:hAnsi="Times New Roman;sans-serif"/>
          <w:b w:val="false"/>
          <w:i/>
          <w:color w:val="000000"/>
          <w:sz w:val="20"/>
          <w:highlight w:val="white"/>
        </w:rPr>
        <w:t>Selling, General and Administrative Expenses.</w:t>
      </w:r>
      <w:r>
        <w:rPr>
          <w:color w:val="000000"/>
          <w:highlight w:val="white"/>
        </w:rPr>
        <w:t xml:space="preserve"> </w:t>
      </w:r>
      <w:r>
        <w:rPr>
          <w:rFonts w:ascii="Times New Roman;sans-serif" w:hAnsi="Times New Roman;sans-serif"/>
          <w:b w:val="false"/>
          <w:color w:val="000000"/>
          <w:sz w:val="20"/>
          <w:highlight w:val="white"/>
        </w:rPr>
        <w:t>Our Residential segment's selling, general and administrative expenses increased by $12.1 million, or 35.5%, during the nine months ended June 30, 2020, compared to the nine months ended June 30, 2019. This increase was driven by increased compensation expense in connection with a growing business, including incentive profit sharing for division management. Selling, general and administrative expenses as a percentage of revenues in the Residential segment increased to 15.4% of segment revenue during the nine months ended June 30, 2020, from 15.2% during the nine months ended June 30, 2019.</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INTEREST AND OTHER EXPENSE, NET</w:t>
      </w:r>
    </w:p>
    <w:p>
      <w:pPr>
        <w:pStyle w:val="TextBody"/>
        <w:spacing w:before="0" w:after="0"/>
        <w:rPr/>
      </w:pPr>
      <w:r>
        <w:rPr/>
      </w:r>
    </w:p>
    <w:tbl>
      <w:tblPr>
        <w:tblW w:w="6754" w:type="dxa"/>
        <w:jc w:val="center"/>
        <w:tblInd w:w="0" w:type="dxa"/>
        <w:tblCellMar>
          <w:top w:w="28" w:type="dxa"/>
          <w:left w:w="28" w:type="dxa"/>
          <w:bottom w:w="28" w:type="dxa"/>
          <w:right w:w="28" w:type="dxa"/>
        </w:tblCellMar>
      </w:tblPr>
      <w:tblGrid>
        <w:gridCol w:w="1108"/>
        <w:gridCol w:w="971"/>
        <w:gridCol w:w="980"/>
        <w:gridCol w:w="109"/>
        <w:gridCol w:w="109"/>
        <w:gridCol w:w="109"/>
        <w:gridCol w:w="161"/>
        <w:gridCol w:w="161"/>
        <w:gridCol w:w="161"/>
        <w:gridCol w:w="269"/>
        <w:gridCol w:w="271"/>
        <w:gridCol w:w="216"/>
        <w:gridCol w:w="161"/>
        <w:gridCol w:w="161"/>
        <w:gridCol w:w="161"/>
        <w:gridCol w:w="161"/>
        <w:gridCol w:w="161"/>
        <w:gridCol w:w="161"/>
        <w:gridCol w:w="276"/>
        <w:gridCol w:w="190"/>
        <w:gridCol w:w="216"/>
        <w:gridCol w:w="109"/>
        <w:gridCol w:w="109"/>
        <w:gridCol w:w="109"/>
        <w:gridCol w:w="154"/>
      </w:tblGrid>
      <w:tr>
        <w:trPr/>
        <w:tc>
          <w:tcPr>
            <w:tcW w:w="1108"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7" w:type="dxa"/>
            <w:gridSpan w:val="15"/>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Three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483" w:type="dxa"/>
            <w:gridSpan w:val="3"/>
            <w:tcBorders/>
            <w:shd w:fill="auto" w:val="clear"/>
            <w:vAlign w:val="center"/>
          </w:tcPr>
          <w:p>
            <w:pPr>
              <w:pStyle w:val="TableContents"/>
              <w:spacing w:before="0" w:after="283"/>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7"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54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159 </w:t>
            </w:r>
          </w:p>
        </w:tc>
        <w:tc>
          <w:tcPr>
            <w:tcW w:w="21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46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371 </w:t>
            </w:r>
          </w:p>
        </w:tc>
        <w:tc>
          <w:tcPr>
            <w:tcW w:w="21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110 </w:t>
            </w:r>
          </w:p>
        </w:tc>
        <w:tc>
          <w:tcPr>
            <w:tcW w:w="21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80 </w:t>
            </w:r>
          </w:p>
        </w:tc>
        <w:tc>
          <w:tcPr>
            <w:tcW w:w="21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451 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(232)</w:t>
            </w:r>
          </w:p>
        </w:tc>
        <w:tc>
          <w:tcPr>
            <w:tcW w:w="21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(64)</w:t>
            </w:r>
          </w:p>
        </w:tc>
        <w:tc>
          <w:tcPr>
            <w:tcW w:w="21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interest and other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387 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1" w:type="dxa"/>
            <w:gridSpan w:val="4"/>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three months ended June 30, 2020, we incurred interest expense of $0.3 million primarily comprised of interest expense from our revolving credit facility with Wells Fargo Bank, N.A. (“Wells Fargo”), an average letter of credit balance of $7.0 million under our revolving credit facility and an average unused line of credit balance of $88.3 million under our revolving credit facility. This compares to interest expense of $0.5 million for the three months ended June 30, 2019, primarily comprised of interest expense from our revolving credit facility, an average letter of credit balance of $6.6 million under our revolving credit facility and an average unused line of credit balance of $66.6 million under our revolving credit facility.</w:t>
      </w:r>
    </w:p>
    <w:p>
      <w:pPr>
        <w:pStyle w:val="TextBody"/>
        <w:spacing w:before="0" w:after="0"/>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34</w:t>
                      </w:r>
                    </w:p>
                  </w:txbxContent>
                </v:textbox>
              </v:rect>
            </w:pict>
          </mc:Fallback>
        </mc:AlternateContent>
      </w:r>
    </w:p>
    <w:p>
      <w:pPr>
        <w:pStyle w:val="TextBody"/>
        <w:spacing w:before="0" w:after="0"/>
        <w:rPr/>
      </w:pPr>
      <w:r>
        <w:rPr/>
      </w:r>
    </w:p>
    <w:tbl>
      <w:tblPr>
        <w:tblW w:w="6923" w:type="dxa"/>
        <w:jc w:val="left"/>
        <w:tblInd w:w="0" w:type="dxa"/>
        <w:tblCellMar>
          <w:top w:w="28" w:type="dxa"/>
          <w:left w:w="28" w:type="dxa"/>
          <w:bottom w:w="28" w:type="dxa"/>
          <w:right w:w="28" w:type="dxa"/>
        </w:tblCellMar>
      </w:tblPr>
      <w:tblGrid>
        <w:gridCol w:w="1108"/>
        <w:gridCol w:w="971"/>
        <w:gridCol w:w="980"/>
        <w:gridCol w:w="109"/>
        <w:gridCol w:w="109"/>
        <w:gridCol w:w="109"/>
        <w:gridCol w:w="156"/>
        <w:gridCol w:w="156"/>
        <w:gridCol w:w="156"/>
        <w:gridCol w:w="308"/>
        <w:gridCol w:w="308"/>
        <w:gridCol w:w="210"/>
        <w:gridCol w:w="156"/>
        <w:gridCol w:w="156"/>
        <w:gridCol w:w="156"/>
        <w:gridCol w:w="156"/>
        <w:gridCol w:w="156"/>
        <w:gridCol w:w="156"/>
        <w:gridCol w:w="354"/>
        <w:gridCol w:w="262"/>
        <w:gridCol w:w="210"/>
        <w:gridCol w:w="109"/>
        <w:gridCol w:w="109"/>
        <w:gridCol w:w="109"/>
        <w:gridCol w:w="154"/>
      </w:tblGrid>
      <w:tr>
        <w:trPr/>
        <w:tc>
          <w:tcPr>
            <w:tcW w:w="1108"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6" w:type="dxa"/>
            <w:gridSpan w:val="15"/>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Nine Months Ended June 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468"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6"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514 </w:t>
            </w:r>
          </w:p>
        </w:tc>
        <w:tc>
          <w:tcPr>
            <w:tcW w:w="21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616"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1,297 </w:t>
            </w:r>
          </w:p>
        </w:tc>
        <w:tc>
          <w:tcPr>
            <w:tcW w:w="210"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314 </w:t>
            </w:r>
          </w:p>
        </w:tc>
        <w:tc>
          <w:tcPr>
            <w:tcW w:w="21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236 </w:t>
            </w:r>
          </w:p>
        </w:tc>
        <w:tc>
          <w:tcPr>
            <w:tcW w:w="21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828 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1,533 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177 </w:t>
            </w:r>
          </w:p>
        </w:tc>
        <w:tc>
          <w:tcPr>
            <w:tcW w:w="21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(129)</w:t>
            </w:r>
          </w:p>
        </w:tc>
        <w:tc>
          <w:tcPr>
            <w:tcW w:w="21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interest and other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1,005 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1,404 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nine months ended June 30, 2020, we incurred interest expense of $0.8 million primarily comprised of interest expense from our revolving credit facility, an average letter of credit balance of $7.1 million under our revolving credit facility and an average unused line of credit balance of $88.3 million under our revolving credit facility. This compares to interest expense of $1.5 million for the nine months ended June 30, 2019, primarily comprised of interest expense from our revolving credit facility, an average letter of credit balance of $6.6 million under our revolving credit facility and an average unused line of credit balance of $68.1 million under our revolving credit facility.</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PROVISION FOR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recorded income tax expense of $1.7 million for the three months ended June 30, 2020, compared to an income tax benefit of $1.2 million for the three months ended June 30, 2019. For each of the three months ended June 30, 2020 and 2019, our income tax expense was offset by benefits of $2.0 million and $4.0 million, respectively, associated with the recognition of previously unrecognized tax benefits.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recorded income tax expense of $7.6 million for the nine months ended June 30, 2020, compared to income tax expense of $3.0 million for the nine months ended June 30, 2019. For each of the nine months ended June 30, 2020 and 2019, our income tax expense was offset by benefits of $2.6 million and $4.0 million, respectively, associated with the recognition of previously unrecognized tax benefits.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CRITICAL ACCOUNTING POLICIES AND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Management’s discussion and analysis of financial condition and results of operations is based upon our Condensed Consolidated Financial Statements included in this report on Form 10-Q, which have been prepared in accordance with U.S. generally accepted accounting principles.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same time such judgments and estimates are made. Uncertainties with respect to such estimates and assumptions are inherent in the preparation of financial statements. There can be no assurance that actual results will not differ from those estimates. </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REMAINING PERFORMANCE OBLIGATIONS AND BACKLOG</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Remaining performance obligations represent the unrecognized revenue value of our contract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35</w:t>
                      </w:r>
                    </w:p>
                  </w:txbxContent>
                </v:textbox>
              </v:rect>
            </w:pict>
          </mc:Fallback>
        </mc:AlternateConten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808"/>
        <w:gridCol w:w="709"/>
        <w:gridCol w:w="713"/>
        <w:gridCol w:w="122"/>
        <w:gridCol w:w="122"/>
        <w:gridCol w:w="122"/>
        <w:gridCol w:w="127"/>
        <w:gridCol w:w="127"/>
        <w:gridCol w:w="127"/>
        <w:gridCol w:w="261"/>
        <w:gridCol w:w="261"/>
        <w:gridCol w:w="170"/>
        <w:gridCol w:w="122"/>
        <w:gridCol w:w="122"/>
        <w:gridCol w:w="122"/>
        <w:gridCol w:w="122"/>
        <w:gridCol w:w="122"/>
        <w:gridCol w:w="122"/>
        <w:gridCol w:w="261"/>
        <w:gridCol w:w="261"/>
        <w:gridCol w:w="180"/>
        <w:gridCol w:w="134"/>
        <w:gridCol w:w="134"/>
        <w:gridCol w:w="134"/>
        <w:gridCol w:w="122"/>
        <w:gridCol w:w="122"/>
        <w:gridCol w:w="122"/>
        <w:gridCol w:w="261"/>
        <w:gridCol w:w="261"/>
        <w:gridCol w:w="164"/>
        <w:gridCol w:w="186"/>
        <w:gridCol w:w="186"/>
        <w:gridCol w:w="186"/>
        <w:gridCol w:w="186"/>
        <w:gridCol w:w="186"/>
        <w:gridCol w:w="191"/>
        <w:gridCol w:w="261"/>
        <w:gridCol w:w="261"/>
        <w:gridCol w:w="164"/>
        <w:gridCol w:w="109"/>
        <w:gridCol w:w="337"/>
        <w:gridCol w:w="682"/>
        <w:gridCol w:w="109"/>
        <w:gridCol w:w="109"/>
        <w:gridCol w:w="109"/>
        <w:gridCol w:w="109"/>
        <w:gridCol w:w="109"/>
        <w:gridCol w:w="109"/>
        <w:gridCol w:w="109"/>
        <w:gridCol w:w="109"/>
        <w:gridCol w:w="175"/>
      </w:tblGrid>
      <w:tr>
        <w:trPr/>
        <w:tc>
          <w:tcPr>
            <w:tcW w:w="808"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19" w:type="dxa"/>
            <w:gridSpan w:val="2"/>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75" w:type="dxa"/>
            <w:tcBorders/>
            <w:shd w:fill="auto" w:val="clear"/>
          </w:tcPr>
          <w:p>
            <w:pPr>
              <w:pStyle w:val="TableContents"/>
              <w:spacing w:before="0" w:after="283"/>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30,</w:t>
            </w:r>
          </w:p>
        </w:tc>
        <w:tc>
          <w:tcPr>
            <w:tcW w:w="36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March 31,</w:t>
            </w:r>
          </w:p>
        </w:tc>
        <w:tc>
          <w:tcPr>
            <w:tcW w:w="366"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December 31,</w:t>
            </w:r>
          </w:p>
        </w:tc>
        <w:tc>
          <w:tcPr>
            <w:tcW w:w="6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September 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75" w:type="dxa"/>
            <w:tcBorders/>
            <w:shd w:fill="auto" w:val="clear"/>
          </w:tcPr>
          <w:p>
            <w:pPr>
              <w:pStyle w:val="TableContents"/>
              <w:spacing w:before="0" w:after="283"/>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6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w:t>
            </w:r>
          </w:p>
        </w:tc>
        <w:tc>
          <w:tcPr>
            <w:tcW w:w="366"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6"/>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6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75" w:type="dxa"/>
            <w:tcBorders/>
            <w:shd w:fill="auto" w:val="clear"/>
          </w:tcPr>
          <w:p>
            <w:pPr>
              <w:pStyle w:val="TableContents"/>
              <w:spacing w:before="0" w:after="283"/>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Remaining performance obligations</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523 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469 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430 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452 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37" w:type="dxa"/>
            <w:gridSpan w:val="4"/>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75" w:type="dxa"/>
            <w:tcBorders/>
            <w:shd w:fill="auto" w:val="clear"/>
          </w:tcPr>
          <w:p>
            <w:pPr>
              <w:pStyle w:val="TableContents"/>
              <w:spacing w:before="0" w:after="283"/>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highlight w:val="white"/>
              </w:rPr>
              <w:t>Agreements without an enforceable obligation</w:t>
            </w:r>
            <w:r>
              <w:rPr>
                <w:color w:val="000000"/>
                <w:highlight w:val="white"/>
              </w:rPr>
              <w:t xml:space="preserve"> </w:t>
            </w:r>
            <w:r>
              <w:rPr>
                <w:rFonts w:ascii="Times New Roman;sans-serif" w:hAnsi="Times New Roman;sans-serif"/>
                <w:b w:val="false"/>
                <w:color w:val="000000"/>
                <w:sz w:val="13"/>
                <w:highlight w:val="white"/>
              </w:rPr>
              <w:t>(1)</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74 </w:t>
            </w:r>
          </w:p>
        </w:tc>
        <w:tc>
          <w:tcPr>
            <w:tcW w:w="17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118 </w:t>
            </w:r>
          </w:p>
        </w:tc>
        <w:tc>
          <w:tcPr>
            <w:tcW w:w="180"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79 </w:t>
            </w:r>
          </w:p>
        </w:tc>
        <w:tc>
          <w:tcPr>
            <w:tcW w:w="16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5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85 </w:t>
            </w:r>
          </w:p>
        </w:tc>
        <w:tc>
          <w:tcPr>
            <w:tcW w:w="164"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37" w:type="dxa"/>
            <w:gridSpan w:val="4"/>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75" w:type="dxa"/>
            <w:tcBorders/>
            <w:shd w:fill="auto" w:val="clear"/>
          </w:tcPr>
          <w:p>
            <w:pPr>
              <w:pStyle w:val="TableContents"/>
              <w:spacing w:before="0" w:after="283"/>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Backlog</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597 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587 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509 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5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537 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jc w:val="right"/>
              <w:rPr>
                <w:color w:val="000000"/>
                <w:highlight w:val="white"/>
              </w:rPr>
            </w:pPr>
            <w:r>
              <w:rPr>
                <w:color w:val="000000"/>
                <w:highlight w:val="white"/>
              </w:rPr>
              <w:t> </w:t>
            </w:r>
          </w:p>
        </w:tc>
        <w:tc>
          <w:tcPr>
            <w:tcW w:w="1237" w:type="dxa"/>
            <w:gridSpan w:val="4"/>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75" w:type="dxa"/>
            <w:tcBorders/>
            <w:shd w:fill="auto" w:val="clear"/>
          </w:tcPr>
          <w:p>
            <w:pPr>
              <w:pStyle w:val="TableContents"/>
              <w:spacing w:before="0" w:after="283"/>
              <w:rPr>
                <w:sz w:val="4"/>
                <w:szCs w:val="4"/>
              </w:rPr>
            </w:pPr>
            <w:r>
              <w:rPr>
                <w:sz w:val="4"/>
                <w:szCs w:val="4"/>
              </w:rPr>
            </w:r>
          </w:p>
        </w:tc>
      </w:tr>
      <w:tr>
        <w:trPr/>
        <w:tc>
          <w:tcPr>
            <w:tcW w:w="8364" w:type="dxa"/>
            <w:gridSpan w:val="3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(1) Our backlog contains signed agreements and letters of intent, which we do not have a legal right to enforce prior to work starting. These arrangements are excluded from remaining performance obligations until work begins.</w:t>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230"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c>
          <w:tcPr>
            <w:tcW w:w="558" w:type="dxa"/>
            <w:gridSpan w:val="3"/>
            <w:tcBorders/>
            <w:shd w:fill="auto" w:val="clear"/>
            <w:vAlign w:val="center"/>
          </w:tcPr>
          <w:p>
            <w:pPr>
              <w:pStyle w:val="TableContents"/>
              <w:spacing w:before="0" w:after="283"/>
              <w:rPr>
                <w:sz w:val="4"/>
                <w:szCs w:val="4"/>
              </w:rPr>
            </w:pPr>
            <w:r>
              <w:rPr>
                <w:sz w:val="4"/>
                <w:szCs w:val="4"/>
              </w:rPr>
            </w:r>
          </w:p>
        </w:tc>
        <w:tc>
          <w:tcPr>
            <w:tcW w:w="563"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c>
          <w:tcPr>
            <w:tcW w:w="2175" w:type="dxa"/>
            <w:gridSpan w:val="12"/>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WORKING CAPITAL</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nine months ended June 30, 2020, working capital exclusive of cash decreased by $16.3 million from September 30, 2019, reflecting a $13.0 million increase in current assets excluding cash and a $29.3 million increase in current liabilities during the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During the nine months ended June 30, 2020, our current assets exclusive of cash increased to $290.5 million, as compared to $277.5 million as of September 30, 2019, primarily as a result of an increase in retainage. The increase in retainage relates to higher levels of activity in our Residential multi-family and Communications businesses. Days sales outstanding decreased to 59 at June 30, 2020, from 62 at September 30, 2019. While the rate of collections may vary, our typically secured position, resulting from our ability in general to secure liens against our customers’ overdue receivables, offers some protection that collection will occur eventually to the extent that our security retains value.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nine months ended June 30, 2020, our total current liabilities increased by $29.3 million to $222.8 million, compared to $193.5 million as of September 30, 2019, primarily related to an increase in accounts payable and accrued liabilities in connection with increased activity in the nine months ended June 30, 2020, as well as $11.2 million accrual related to current lease liabilities.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Surety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the bonding capacity provided by our sureties is adequate for our current operations and will be adequate for our operations for the foreseeable future. As of June 30, 2020, the estimated cost to complete our bonded projects was approximately $101.2 million.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LIQUIDITY AND CAPITAL RESOURCES</w:t>
      </w:r>
    </w:p>
    <w:p>
      <w:pPr>
        <w:pStyle w:val="TextBody"/>
        <w:spacing w:lineRule="auto" w:line="288" w:before="36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Revolving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maintain a $100 million revolving credit facility pursuant to a credit agreement with Wells Fargo that matures on September 30, 2024 (as amended, the "Amended Credit Agreement"). </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Amended Credit Agreement contains customary affirmative, negative and financial covenants as well as events of default.</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June 30, 2020, we were in compliance with the financial covenants under the Amended Credit Agreement, requiring that we maintain:</w:t>
      </w:r>
    </w:p>
    <w:p>
      <w:pPr>
        <w:pStyle w:val="TextBody"/>
        <w:spacing w:lineRule="auto" w:line="288" w:before="240" w:after="283"/>
        <w:ind w:left="0" w:right="0" w:hanging="360"/>
        <w:jc w:val="both"/>
        <w:rPr/>
      </w:pPr>
      <w:r>
        <w:rPr>
          <w:color w:val="000000"/>
          <w:highlight w:val="white"/>
        </w:rPr>
        <w:t>•</w:t>
      </w:r>
      <w:r>
        <w:rPr>
          <w:rFonts w:ascii="Times New Roman;sans-serif" w:hAnsi="Times New Roman;sans-serif"/>
          <w:b w:val="false"/>
          <w:color w:val="000000"/>
          <w:sz w:val="20"/>
          <w:highlight w:val="white"/>
        </w:rPr>
        <w:t>a Fixed Charge Coverage Ratio (as defined in the Amended Credit Agreement), measured quarterly on a trailing four-quarter basis at the end of each quarter, of at least 1.1 to 1.0; and</w:t>
      </w:r>
    </w:p>
    <w:p>
      <w:pPr>
        <w:pStyle w:val="TextBody"/>
        <w:spacing w:lineRule="auto" w:line="288" w:before="240" w:after="283"/>
        <w:ind w:left="0" w:right="0" w:hanging="360"/>
        <w:jc w:val="both"/>
        <w:rPr/>
      </w:pPr>
      <w:r>
        <w:rPr>
          <w:color w:val="000000"/>
          <w:highlight w:val="white"/>
        </w:rPr>
        <w:t>•</w:t>
      </w:r>
      <w:r>
        <w:rPr>
          <w:rFonts w:ascii="Times New Roman;sans-serif" w:hAnsi="Times New Roman;sans-serif"/>
          <w:b w:val="false"/>
          <w:color w:val="000000"/>
          <w:sz w:val="20"/>
          <w:highlight w:val="white"/>
        </w:rPr>
        <w:t>minimum Liquidity (as defined in the Amended Credit Agreement) of at least 20% of the Maximum Revolver Amount (as defined in the Amended Credit Agreement), or $20 million; with, for purposes of this covenant, at least 50% of our Liquidity comprised of Excess Availability (as defined in the Amended Credit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At June 30, 2020, our Liquidity was $125.1 million, our Excess Availability was $89.3 million (or greater than 50% of minimum Liquidity), and our Fixed Charge Coverage Ratio was 7.6:1.0.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in the future our Liquidity falls below $20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36</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 June 30, 2020, we had $7.0 million in outstanding letters of credit with Wells Fargo and no borrowings outstanding under our credit facility.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Operating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Operating activities provided net cash of $55.6 million during the nine months ended June 30, 2020, as compared to $20.3 million of net cash provided in the nine months ended June 30, 2019. The increase in operating cash flow resulted from an increase in earnings and a reduction of working capital in the nine months ended June 30, 2020, including a $4.4 million benefit related to the deferral of the employer portion of payroll taxes provided by the Coronavirus Aid Relief and Economic Security ("CARES") Act.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Investing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cash used in investing activities was $32.6 million for the nine months ended June 30, 2020, compared with $5.1 million for the nine months ended June 30, 2019. We used $29.0 million to complete two acquisitions during the nine months ended June 30, 2020. We used cash of $3.7 million for purchases of fixed assets in the nine months ended June 30, 2020. For the nine months ended June 30, 2019, we used $5.2 million of cash for the purchase of fixed assets.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Financing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Net cash used by financing activities for the nine months ended June 30, 2020 was $6.1 million, compared with $28.3 for the nine months ended June 30, 2019. For the nine months ended June 30, 2020, we drew $592.6 million and repaid $592.6 million on our revolving credit facility. Net cash used by financing activities also included $5.4 million used to repurchase our shares under our stock repurchase plan as well as to repurchase our shares to satisfy statutory withholding requirements upon the vesting of employee stock compensation. For the nine months ended June 30, 2019, we drew $22.5 million and repaid $42.3 million on our revolving credit facility. Additionally, we used $8.3 million for market repurchases under our stock repurchase plan as well as to repurchase our shares to satisfy statutory withholding requirements upon the vesting of employee stock compensation.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Stock Repurchase Program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2015, our Board authorized a stock repurchase program for the purchase from time to time of up to 1.5 million shares of the Company’s common stock, and on May 2, 2019 authorized the repurchase from time to time of up to an additional 1.0 million shares of the Company's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224,959 shares pursuant to this program during the nine months ended June 30, 2020.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OFF-BALANCE SHEET ARRANGEMENTS AND CONTRACTUAL OBLIGATIONS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have been no material changes in our contractual obligations and commitments from those disclosed in our Annual Report on Form 10-K for the fiscal year ended September 30, 2019.</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37</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highlight w:val="white"/>
        </w:rPr>
        <w:t xml:space="preserve">Item 3. </w:t>
      </w:r>
      <w:r>
        <w:rPr>
          <w:rFonts w:ascii="Times New Roman;sans-serif" w:hAnsi="Times New Roman;sans-serif"/>
          <w:b/>
          <w:i/>
          <w:color w:val="000000"/>
          <w:sz w:val="20"/>
          <w:highlight w:val="white"/>
        </w:rPr>
        <w:t>Quantitative and Qualitative Disclosures About Market Risk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the Amended Credit Agreement. For additional information see</w:t>
      </w:r>
      <w:r>
        <w:rPr>
          <w:color w:val="000000"/>
          <w:highlight w:val="white"/>
        </w:rPr>
        <w:t xml:space="preserve"> “</w:t>
      </w:r>
      <w:r>
        <w:rPr>
          <w:rFonts w:ascii="Times New Roman;sans-serif" w:hAnsi="Times New Roman;sans-serif"/>
          <w:b w:val="false"/>
          <w:i/>
          <w:color w:val="000000"/>
          <w:sz w:val="20"/>
          <w:highlight w:val="white"/>
        </w:rPr>
        <w:t>Disclosure Regarding Forward-Looking Statements”</w:t>
      </w:r>
      <w:r>
        <w:rPr>
          <w:color w:val="000000"/>
          <w:highlight w:val="white"/>
        </w:rPr>
        <w:t xml:space="preserve"> </w:t>
      </w:r>
      <w:r>
        <w:rPr>
          <w:rFonts w:ascii="Times New Roman;sans-serif" w:hAnsi="Times New Roman;sans-serif"/>
          <w:b w:val="false"/>
          <w:color w:val="000000"/>
          <w:sz w:val="20"/>
          <w:highlight w:val="white"/>
        </w:rPr>
        <w:t>in Part I of this Quarterly Report on Form 10-Q, the risk factors in Part II, Item 1A. "</w:t>
      </w:r>
      <w:r>
        <w:rPr>
          <w:rFonts w:ascii="Times New Roman;sans-serif" w:hAnsi="Times New Roman;sans-serif"/>
          <w:b w:val="false"/>
          <w:i/>
          <w:color w:val="000000"/>
          <w:sz w:val="20"/>
          <w:highlight w:val="white"/>
        </w:rPr>
        <w:t>Risk Factors</w:t>
      </w:r>
      <w:r>
        <w:rPr>
          <w:rFonts w:ascii="Times New Roman;sans-serif" w:hAnsi="Times New Roman;sans-serif"/>
          <w:b w:val="false"/>
          <w:color w:val="000000"/>
          <w:sz w:val="20"/>
          <w:highlight w:val="white"/>
        </w:rPr>
        <w:t>" of this Quarterly Report on Form 10-Q and our risk factors in Part I, Item 1A. “</w:t>
      </w:r>
      <w:r>
        <w:rPr>
          <w:rFonts w:ascii="Times New Roman;sans-serif" w:hAnsi="Times New Roman;sans-serif"/>
          <w:b w:val="false"/>
          <w:i/>
          <w:color w:val="000000"/>
          <w:sz w:val="20"/>
          <w:highlight w:val="white"/>
        </w:rPr>
        <w:t xml:space="preserve">Risk Factors” </w:t>
      </w:r>
      <w:r>
        <w:rPr>
          <w:rFonts w:ascii="Times New Roman;sans-serif" w:hAnsi="Times New Roman;sans-serif"/>
          <w:b w:val="false"/>
          <w:color w:val="000000"/>
          <w:sz w:val="20"/>
          <w:highlight w:val="white"/>
        </w:rPr>
        <w:t>in our Annual Report on Form 10-K for the fiscal year ended September 30, 2019.</w:t>
      </w:r>
    </w:p>
    <w:p>
      <w:pPr>
        <w:pStyle w:val="TextBody"/>
        <w:spacing w:lineRule="auto" w:line="288" w:before="0" w:after="0"/>
        <w:jc w:val="both"/>
        <w:rPr>
          <w:color w:val="000000"/>
          <w:highlight w:val="white"/>
        </w:rPr>
      </w:pPr>
      <w:r>
        <w:rPr>
          <w:color w:val="000000"/>
          <w:highlight w:val="white"/>
        </w:rPr>
        <w:t> </w:t>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Commodity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 The Company has not entered into any commodity price risk hedging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Interest Rate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are subject to interest rate risk on floating interest rate borrowings under our revolving credit facility. If LIBOR were to increase, our interest payment obligations on any then-outstanding borrowings would increase, having a negative effect on our cash flow and financial condition. As we currently have no floating interest rate borrowings outstanding, we have no current exposure to interest rate risk. We currently do not maintain any hedging contracts that would limit our exposure to variable rates of interest when we have outstanding borrowings. Floating rate debt, where the interest rate fluctuates periodically, exposes us to short-term changes in market interest rates. </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highlight w:val="white"/>
        </w:rPr>
        <w:t>Item 4.</w:t>
      </w:r>
      <w:r>
        <w:rPr>
          <w:color w:val="000000"/>
          <w:highlight w:val="white"/>
        </w:rPr>
        <w:t xml:space="preserve"> </w:t>
      </w:r>
      <w:r>
        <w:rPr>
          <w:rFonts w:ascii="Times New Roman;sans-serif" w:hAnsi="Times New Roman;sans-serif"/>
          <w:b/>
          <w:i/>
          <w:color w:val="000000"/>
          <w:sz w:val="20"/>
          <w:highlight w:val="white"/>
        </w:rPr>
        <w:t>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Changes in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 including any changes related to the COVID-19 pandemic and our transition to a remote working environment.</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2020,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PART II. OTHER INFORMATION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highlight w:val="white"/>
        </w:rPr>
        <w:t xml:space="preserve">Item 1. </w:t>
      </w:r>
      <w:r>
        <w:rPr>
          <w:rFonts w:ascii="Times New Roman;sans-serif" w:hAnsi="Times New Roman;sans-serif"/>
          <w:b/>
          <w:i/>
          <w:color w:val="000000"/>
          <w:sz w:val="20"/>
          <w:highlight w:val="white"/>
        </w:rPr>
        <w:t>Legal Proceedings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For information regarding legal proceedings, see Note 12</w:t>
      </w:r>
      <w:r>
        <w:rPr>
          <w:rFonts w:ascii="Times New Roman;sans-serif" w:hAnsi="Times New Roman;sans-serif"/>
          <w:b w:val="false"/>
          <w:color w:val="000000"/>
          <w:sz w:val="24"/>
          <w:highlight w:val="white"/>
        </w:rPr>
        <w:t>, “</w:t>
      </w:r>
      <w:r>
        <w:rPr>
          <w:rFonts w:ascii="Times New Roman;sans-serif" w:hAnsi="Times New Roman;sans-serif"/>
          <w:b w:val="false"/>
          <w:color w:val="000000"/>
          <w:sz w:val="20"/>
          <w:highlight w:val="white"/>
        </w:rPr>
        <w:t>Commitments and Contingencies</w:t>
      </w:r>
      <w:r>
        <w:rPr>
          <w:color w:val="000000"/>
          <w:highlight w:val="white"/>
        </w:rPr>
        <w:t xml:space="preserve"> – </w:t>
      </w:r>
      <w:r>
        <w:rPr>
          <w:rFonts w:ascii="Times New Roman;sans-serif" w:hAnsi="Times New Roman;sans-serif"/>
          <w:b w:val="false"/>
          <w:color w:val="000000"/>
          <w:sz w:val="20"/>
          <w:highlight w:val="white"/>
        </w:rPr>
        <w:t>Legal Matters” in the Notes to our Condensed Consolidated Financial Statements set forth in Part I, Item 1 of this Quarterly Report on Form 10-Q, which is incorporated herein by reference.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38</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highlight w:val="white"/>
        </w:rPr>
        <w:t xml:space="preserve">Item 1A. </w:t>
      </w:r>
      <w:r>
        <w:rPr>
          <w:rFonts w:ascii="Times New Roman;sans-serif" w:hAnsi="Times New Roman;sans-serif"/>
          <w:b/>
          <w:i/>
          <w:color w:val="000000"/>
          <w:sz w:val="20"/>
          <w:highlight w:val="white"/>
        </w:rPr>
        <w:t>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Carefully consider the risk factors disclosed under Part 1, Item 1A. “Risk Factors” in our Annual Report on Form 10-K</w:t>
      </w:r>
    </w:p>
    <w:p>
      <w:pPr>
        <w:pStyle w:val="TextBody"/>
        <w:spacing w:lineRule="auto" w:line="288" w:before="0" w:after="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for the fiscal year ended September 30, 2019. There have been no significant changes except as follows:</w:t>
      </w:r>
    </w:p>
    <w:p>
      <w:pPr>
        <w:pStyle w:val="TextBody"/>
        <w:spacing w:before="0" w:after="0"/>
        <w:rPr/>
      </w:pPr>
      <w:r>
        <w:rPr/>
      </w:r>
    </w:p>
    <w:p>
      <w:pPr>
        <w:pStyle w:val="TextBody"/>
        <w:spacing w:lineRule="auto" w:line="288" w:before="0" w:after="0"/>
        <w:jc w:val="both"/>
        <w:rPr>
          <w:rFonts w:ascii="Times New Roman;sans-serif" w:hAnsi="Times New Roman;sans-serif"/>
          <w:b/>
          <w:color w:val="212529"/>
          <w:sz w:val="20"/>
          <w:highlight w:val="white"/>
        </w:rPr>
      </w:pPr>
      <w:r>
        <w:rPr>
          <w:rFonts w:ascii="Times New Roman;sans-serif" w:hAnsi="Times New Roman;sans-serif"/>
          <w:b/>
          <w:color w:val="212529"/>
          <w:sz w:val="20"/>
          <w:highlight w:val="white"/>
        </w:rPr>
        <w:t>The current COVID-19 pandemic could have a materially adverse impact on our business, including our financial condition, cash</w:t>
      </w:r>
    </w:p>
    <w:p>
      <w:pPr>
        <w:pStyle w:val="TextBody"/>
        <w:spacing w:lineRule="auto" w:line="288" w:before="0" w:after="0"/>
        <w:rPr>
          <w:rFonts w:ascii="Times New Roman;sans-serif" w:hAnsi="Times New Roman;sans-serif"/>
          <w:b/>
          <w:color w:val="212529"/>
          <w:sz w:val="20"/>
          <w:highlight w:val="white"/>
        </w:rPr>
      </w:pPr>
      <w:r>
        <w:rPr>
          <w:rFonts w:ascii="Times New Roman;sans-serif" w:hAnsi="Times New Roman;sans-serif"/>
          <w:b/>
          <w:color w:val="212529"/>
          <w:sz w:val="20"/>
          <w:highlight w:val="white"/>
        </w:rPr>
        <w:t>flows and results of operations. The pandemic and related impacts may adversely impact our business, including our financial condition, cash flows and results of operations.</w:t>
      </w:r>
    </w:p>
    <w:p>
      <w:pPr>
        <w:pStyle w:val="TextBody"/>
        <w:spacing w:before="0" w:after="0"/>
        <w:rPr/>
      </w:pPr>
      <w:r>
        <w:rPr/>
      </w:r>
    </w:p>
    <w:p>
      <w:pPr>
        <w:pStyle w:val="TextBody"/>
        <w:spacing w:lineRule="auto" w:line="256" w:before="0" w:after="0"/>
        <w:rPr>
          <w:rFonts w:ascii="Times New Roman;sans-serif" w:hAnsi="Times New Roman;sans-serif"/>
          <w:b w:val="false"/>
          <w:color w:val="212529"/>
          <w:sz w:val="20"/>
          <w:highlight w:val="white"/>
        </w:rPr>
      </w:pPr>
      <w:r>
        <w:rPr>
          <w:rFonts w:ascii="Times New Roman;sans-serif" w:hAnsi="Times New Roman;sans-serif"/>
          <w:b w:val="false"/>
          <w:color w:val="212529"/>
          <w:sz w:val="20"/>
          <w:highlight w:val="white"/>
        </w:rPr>
        <w:t>The COVID-19 coronavirus pandemic and resulting governmental responses have caused significant volatility in financial markets, including the market price of the Company’s securities, and have raised the prospect of an extended global recession. Public health problems resulting from COVID-19 and precautionary measures instituted by governments and businesses to mitigate its spread, including travel restrictions and "stay at home" orders, have contributed to a prolonged slowdown in the global economy, have adversely impacted the businesses of the Company’s customers and suppliers, and have disrupted the Company’s operations. As the future impacts of COVID-19 remain highly uncertain, there is no assurance that the outbreak will not have a material adverse impact on the future results of the Company. The extent of the impact, if any, will continue to depend on future developments, including actions taken to contain the spread of coronavirus. Potential risks associated with the COVID-19 outbreak include:</w:t>
      </w:r>
    </w:p>
    <w:p>
      <w:pPr>
        <w:pStyle w:val="TextBody"/>
        <w:spacing w:before="0" w:after="0"/>
        <w:rPr/>
      </w:pPr>
      <w:r>
        <w:rPr/>
      </w:r>
    </w:p>
    <w:p>
      <w:pPr>
        <w:pStyle w:val="TextBody"/>
        <w:spacing w:lineRule="auto" w:line="276" w:before="0" w:after="0"/>
        <w:ind w:left="0" w:right="0" w:hanging="360"/>
        <w:rPr/>
      </w:pPr>
      <w:r>
        <w:rPr>
          <w:color w:val="000000"/>
          <w:highlight w:val="white"/>
        </w:rPr>
        <w:t>•</w:t>
      </w:r>
      <w:r>
        <w:rPr>
          <w:rFonts w:ascii="Times New Roman;sans-serif" w:hAnsi="Times New Roman;sans-serif"/>
          <w:b w:val="false"/>
          <w:color w:val="212529"/>
          <w:sz w:val="20"/>
          <w:highlight w:val="white"/>
        </w:rPr>
        <w:t>Government restrictions, “stay at home” orders, and other safety concerns related to COVID-19 have caused some of our customers to close job sites temporarily or delay the start dates of new projects. Because much of our revenue is generated by our employees working at customer sites, our revenue will be reduced if a significant number of our customer sites close, or if customers reduce or eliminate the presence of third-party contractors and service providers, such as our employees. Further, a general economic downturn could reduce the demand for our services. Any cancellations, delays or losses of projects may significantly reduce our revenues and harm our operating performance.</w:t>
      </w:r>
    </w:p>
    <w:p>
      <w:pPr>
        <w:pStyle w:val="TextBody"/>
        <w:spacing w:lineRule="auto" w:line="276" w:before="0" w:after="0"/>
        <w:ind w:left="0" w:right="0" w:hanging="360"/>
        <w:rPr/>
      </w:pPr>
      <w:r>
        <w:rPr>
          <w:color w:val="000000"/>
          <w:highlight w:val="white"/>
        </w:rPr>
        <w:t>•</w:t>
      </w:r>
      <w:r>
        <w:rPr>
          <w:rFonts w:ascii="Times New Roman;sans-serif" w:hAnsi="Times New Roman;sans-serif"/>
          <w:b w:val="false"/>
          <w:color w:val="212529"/>
          <w:sz w:val="20"/>
          <w:highlight w:val="white"/>
        </w:rPr>
        <w:t>The COVID-19 outbreak could disrupt our operations due to absenteeism by infected or ill members of management or other employees, or absenteeism by members of management and other employees who elect not to come to work due to the illness affecting others on our job sites or in our facilities, or due to quarantines. The illness could also impact members of our Board resulting in absenteeism from the meetings of the directors or committees of the directors, and make it difficult to convene the quorums of the full Board or its committees needed to conduct meetings for the management of our affairs.</w:t>
      </w:r>
    </w:p>
    <w:p>
      <w:pPr>
        <w:pStyle w:val="TextBody"/>
        <w:spacing w:lineRule="auto" w:line="276" w:before="0" w:after="0"/>
        <w:ind w:left="0" w:right="0" w:hanging="360"/>
        <w:rPr/>
      </w:pPr>
      <w:r>
        <w:rPr>
          <w:color w:val="000000"/>
          <w:highlight w:val="white"/>
        </w:rPr>
        <w:t>•</w:t>
      </w:r>
      <w:r>
        <w:rPr>
          <w:rFonts w:ascii="Times New Roman;sans-serif" w:hAnsi="Times New Roman;sans-serif"/>
          <w:b w:val="false"/>
          <w:color w:val="212529"/>
          <w:sz w:val="20"/>
          <w:highlight w:val="white"/>
        </w:rPr>
        <w:t xml:space="preserve">Certain of our customers may experience financial difficulties, including bankruptcy or insolvency, as a result of a decline in the economy relating to COVID-19. If our customers suffer significant financial difficulty, they may be unable to pay amounts due to us timely or at all, which could have a material adverse effect on our ability to collect on receivables and our results of operations. It is possible that customers may contest their contractual obligations to us under bankruptcy laws or otherwise. Further, we may have to negotiate significant discounts and/or extended financing terms with such customers in such a situation. If we are unable to collect upon our accounts receivable as they come due in an efficient and timely manner, our business, results of operations and financial condition may be materially adversely affected. </w:t>
      </w:r>
    </w:p>
    <w:p>
      <w:pPr>
        <w:pStyle w:val="TextBody"/>
        <w:spacing w:before="0" w:after="0"/>
        <w:rPr/>
      </w:pPr>
      <w:r>
        <w:rPr/>
      </w:r>
    </w:p>
    <w:p>
      <w:pPr>
        <w:pStyle w:val="TextBody"/>
        <w:spacing w:lineRule="auto" w:line="256" w:before="0" w:after="0"/>
        <w:rPr>
          <w:rFonts w:ascii="Times New Roman;sans-serif" w:hAnsi="Times New Roman;sans-serif"/>
          <w:b w:val="false"/>
          <w:color w:val="212529"/>
          <w:sz w:val="20"/>
          <w:highlight w:val="white"/>
        </w:rPr>
      </w:pPr>
      <w:r>
        <w:rPr>
          <w:rFonts w:ascii="Times New Roman;sans-serif" w:hAnsi="Times New Roman;sans-serif"/>
          <w:b w:val="false"/>
          <w:color w:val="212529"/>
          <w:sz w:val="20"/>
          <w:highlight w:val="white"/>
        </w:rPr>
        <w:t>To the extent the COVID-19 pandemic adversely affects our business and financial results, it may also have the effect of heightening many of the other risk factors disclosed under Part 1, Item 1A. “Risk Factors” in our Annual Report on Form 10-K for the fiscal year ended September 30, 2019, including, but not limited to, those relating to demand for our services, our ability to secure new contracts, potential difficulties in managing our billings and collections, and our ability to fund our working capital requirements and service our debt.</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39</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highlight w:val="white"/>
        </w:rPr>
        <w:t xml:space="preserve">Item 2. </w:t>
      </w:r>
      <w:r>
        <w:rPr>
          <w:rFonts w:ascii="Times New Roman;sans-serif" w:hAnsi="Times New Roman;sans-serif"/>
          <w:b/>
          <w:i/>
          <w:color w:val="000000"/>
          <w:sz w:val="20"/>
          <w:highlight w:val="white"/>
        </w:rPr>
        <w:t>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following table presents information with respect to purchases of common stock of the Company made during the three months ended June 30, 2020: </w:t>
      </w:r>
    </w:p>
    <w:p>
      <w:pPr>
        <w:pStyle w:val="TextBody"/>
        <w:spacing w:before="0" w:after="0"/>
        <w:jc w:val="both"/>
        <w:rPr/>
      </w:pPr>
      <w:r>
        <w:rPr/>
      </w:r>
    </w:p>
    <w:tbl>
      <w:tblPr>
        <w:tblW w:w="10539" w:type="dxa"/>
        <w:jc w:val="left"/>
        <w:tblInd w:w="0" w:type="dxa"/>
        <w:tblCellMar>
          <w:top w:w="28" w:type="dxa"/>
          <w:left w:w="28" w:type="dxa"/>
          <w:bottom w:w="28" w:type="dxa"/>
          <w:right w:w="28" w:type="dxa"/>
        </w:tblCellMar>
      </w:tblPr>
      <w:tblGrid>
        <w:gridCol w:w="455"/>
        <w:gridCol w:w="401"/>
        <w:gridCol w:w="405"/>
        <w:gridCol w:w="533"/>
        <w:gridCol w:w="533"/>
        <w:gridCol w:w="535"/>
        <w:gridCol w:w="559"/>
        <w:gridCol w:w="381"/>
        <w:gridCol w:w="516"/>
        <w:gridCol w:w="845"/>
        <w:gridCol w:w="845"/>
        <w:gridCol w:w="848"/>
        <w:gridCol w:w="1076"/>
        <w:gridCol w:w="1076"/>
        <w:gridCol w:w="1531"/>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w:t>
            </w:r>
          </w:p>
        </w:tc>
        <w:tc>
          <w:tcPr>
            <w:tcW w:w="1601"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Number of Shares Purchased (1)</w:t>
            </w:r>
          </w:p>
        </w:tc>
        <w:tc>
          <w:tcPr>
            <w:tcW w:w="1456"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Average Price Paid Per Share</w:t>
            </w:r>
          </w:p>
        </w:tc>
        <w:tc>
          <w:tcPr>
            <w:tcW w:w="2538"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Total Number of Shares Purchased as Part of a Publicly Announced Plan </w:t>
            </w:r>
          </w:p>
        </w:tc>
        <w:tc>
          <w:tcPr>
            <w:tcW w:w="3683"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Maximum Number of Shares That May Yet Be Purchased Under the Publicly Announced Plan as of June 30, 2020 (2)</w:t>
            </w:r>
          </w:p>
        </w:tc>
      </w:tr>
      <w:tr>
        <w:trPr/>
        <w:tc>
          <w:tcPr>
            <w:tcW w:w="126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April 1, 2020 – April 30, 2020</w:t>
            </w:r>
          </w:p>
        </w:tc>
        <w:tc>
          <w:tcPr>
            <w:tcW w:w="1601"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w:t>
            </w:r>
          </w:p>
        </w:tc>
        <w:tc>
          <w:tcPr>
            <w:tcW w:w="94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$0.00 </w:t>
            </w:r>
          </w:p>
        </w:tc>
        <w:tc>
          <w:tcPr>
            <w:tcW w:w="51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538"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0</w:t>
            </w:r>
          </w:p>
        </w:tc>
        <w:tc>
          <w:tcPr>
            <w:tcW w:w="3683"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1,058,737</w:t>
            </w:r>
          </w:p>
        </w:tc>
      </w:tr>
      <w:tr>
        <w:trPr/>
        <w:tc>
          <w:tcPr>
            <w:tcW w:w="126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May 1, 2020 – May 31, 2020</w:t>
            </w:r>
          </w:p>
        </w:tc>
        <w:tc>
          <w:tcPr>
            <w:tcW w:w="1601"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26,091</w:t>
            </w:r>
          </w:p>
        </w:tc>
        <w:tc>
          <w:tcPr>
            <w:tcW w:w="94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$20.28 </w:t>
            </w:r>
          </w:p>
        </w:tc>
        <w:tc>
          <w:tcPr>
            <w:tcW w:w="51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538"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26,091</w:t>
            </w:r>
          </w:p>
        </w:tc>
        <w:tc>
          <w:tcPr>
            <w:tcW w:w="3683"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1,032,646</w:t>
            </w:r>
          </w:p>
        </w:tc>
      </w:tr>
      <w:tr>
        <w:trPr/>
        <w:tc>
          <w:tcPr>
            <w:tcW w:w="1261" w:type="dxa"/>
            <w:gridSpan w:val="3"/>
            <w:tcBorders/>
            <w:shd w:fill="CCEE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June 1, 2020 – June 30, 2020</w:t>
            </w:r>
          </w:p>
        </w:tc>
        <w:tc>
          <w:tcPr>
            <w:tcW w:w="1601"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620</w:t>
            </w:r>
          </w:p>
        </w:tc>
        <w:tc>
          <w:tcPr>
            <w:tcW w:w="940" w:type="dxa"/>
            <w:gridSpan w:val="2"/>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$20.87 </w:t>
            </w:r>
          </w:p>
        </w:tc>
        <w:tc>
          <w:tcPr>
            <w:tcW w:w="516" w:type="dxa"/>
            <w:tcBorders/>
            <w:shd w:fill="CCEE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538"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620</w:t>
            </w:r>
          </w:p>
        </w:tc>
        <w:tc>
          <w:tcPr>
            <w:tcW w:w="3683"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1,032,026</w:t>
            </w:r>
          </w:p>
        </w:tc>
      </w:tr>
      <w:tr>
        <w:trPr/>
        <w:tc>
          <w:tcPr>
            <w:tcW w:w="1261"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w:t>
            </w:r>
          </w:p>
        </w:tc>
        <w:tc>
          <w:tcPr>
            <w:tcW w:w="1601"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26,711</w:t>
            </w:r>
          </w:p>
        </w:tc>
        <w:tc>
          <w:tcPr>
            <w:tcW w:w="940" w:type="dxa"/>
            <w:gridSpan w:val="2"/>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$20.29 </w:t>
            </w:r>
          </w:p>
        </w:tc>
        <w:tc>
          <w:tcPr>
            <w:tcW w:w="516" w:type="dxa"/>
            <w:tcBorders/>
            <w:shd w:fill="FFFFFF" w:val="clear"/>
            <w:tcMar>
              <w:top w:w="0" w:type="dxa"/>
              <w:left w:w="0" w:type="dxa"/>
              <w:bottom w:w="0" w:type="dxa"/>
              <w:right w:w="0" w:type="dxa"/>
            </w:tcMar>
            <w:vAlign w:val="center"/>
          </w:tcPr>
          <w:p>
            <w:pPr>
              <w:pStyle w:val="TableContents"/>
              <w:spacing w:before="0" w:after="283"/>
              <w:jc w:val="right"/>
              <w:rPr>
                <w:color w:val="000000"/>
                <w:highlight w:val="white"/>
              </w:rPr>
            </w:pPr>
            <w:r>
              <w:rPr>
                <w:color w:val="000000"/>
                <w:highlight w:val="white"/>
              </w:rPr>
              <w:t> </w:t>
            </w:r>
          </w:p>
        </w:tc>
        <w:tc>
          <w:tcPr>
            <w:tcW w:w="2538"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26,711</w:t>
            </w:r>
          </w:p>
        </w:tc>
        <w:tc>
          <w:tcPr>
            <w:tcW w:w="3683"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1,032,026</w:t>
            </w:r>
          </w:p>
        </w:tc>
      </w:tr>
    </w:tbl>
    <w:p>
      <w:pPr>
        <w:pStyle w:val="TextBody"/>
        <w:spacing w:before="0" w:after="0"/>
        <w:rPr/>
      </w:pPr>
      <w:r>
        <w:rPr/>
      </w:r>
    </w:p>
    <w:p>
      <w:pPr>
        <w:pStyle w:val="TextBody"/>
        <w:spacing w:lineRule="auto" w:line="331" w:before="0" w:after="0"/>
        <w:ind w:left="0" w:right="0" w:hanging="360"/>
        <w:rPr/>
      </w:pPr>
      <w:r>
        <w:rPr>
          <w:rFonts w:ascii="Times New Roman;sans-serif" w:hAnsi="Times New Roman;sans-serif"/>
          <w:b w:val="false"/>
          <w:color w:val="000000"/>
          <w:sz w:val="16"/>
          <w:highlight w:val="white"/>
        </w:rPr>
        <w:t>(1)</w:t>
      </w:r>
      <w:r>
        <w:rPr>
          <w:color w:val="000000"/>
          <w:highlight w:val="white"/>
        </w:rPr>
        <w:t> </w:t>
      </w:r>
      <w:r>
        <w:rPr>
          <w:rFonts w:ascii="Times New Roman;sans-serif" w:hAnsi="Times New Roman;sans-serif"/>
          <w:b w:val="false"/>
          <w:color w:val="000000"/>
          <w:sz w:val="16"/>
          <w:highlight w:val="white"/>
        </w:rPr>
        <w:t xml:space="preserve">The total number of shares purchased includes shares purchased pursuant to the plan described in footnote (2) below. </w:t>
      </w:r>
    </w:p>
    <w:p>
      <w:pPr>
        <w:pStyle w:val="TextBody"/>
        <w:spacing w:lineRule="auto" w:line="288" w:before="0" w:after="0"/>
        <w:ind w:left="0" w:right="0" w:hanging="360"/>
        <w:rPr/>
      </w:pPr>
      <w:r>
        <w:rPr>
          <w:rFonts w:ascii="Times New Roman;sans-serif" w:hAnsi="Times New Roman;sans-serif"/>
          <w:b w:val="false"/>
          <w:color w:val="000000"/>
          <w:sz w:val="16"/>
          <w:highlight w:val="white"/>
        </w:rPr>
        <w:t>(2)</w:t>
      </w:r>
      <w:r>
        <w:rPr>
          <w:color w:val="000000"/>
          <w:highlight w:val="white"/>
        </w:rPr>
        <w:t> </w:t>
      </w:r>
      <w:r>
        <w:rPr>
          <w:rFonts w:ascii="Times New Roman;sans-serif" w:hAnsi="Times New Roman;sans-serif"/>
          <w:b w:val="false"/>
          <w:color w:val="000000"/>
          <w:sz w:val="16"/>
          <w:highlight w:val="white"/>
        </w:rPr>
        <w:t>In 2015, our Board authorized a stock repurchase program for the purchase of up to 1.5 million shares of the Company’s common stock from time to time, and on May 2, 2019, authorized the repurchase from time to time of up to an additional 1.0 million shares of the Company’s common stock under the stock repurchase program.</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40</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highlight w:val="white"/>
        </w:rPr>
        <w:t xml:space="preserve">Item 3. </w:t>
      </w:r>
      <w:r>
        <w:rPr>
          <w:rFonts w:ascii="Times New Roman;sans-serif" w:hAnsi="Times New Roman;sans-serif"/>
          <w:b/>
          <w:i/>
          <w:color w:val="000000"/>
          <w:sz w:val="20"/>
          <w:highlight w:val="white"/>
        </w:rPr>
        <w:t>Defaults Upon Senior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highlight w:val="white"/>
        </w:rPr>
        <w:t xml:space="preserve">Item 4. </w:t>
      </w:r>
      <w:r>
        <w:rPr>
          <w:rFonts w:ascii="Times New Roman;sans-serif" w:hAnsi="Times New Roman;sans-serif"/>
          <w:b/>
          <w:i/>
          <w:color w:val="000000"/>
          <w:sz w:val="20"/>
          <w:highlight w:val="white"/>
        </w:rPr>
        <w:t>Mine Safety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75260"/>
                <wp:effectExtent l="0" t="0" r="0" b="0"/>
                <wp:wrapNone/>
                <wp:docPr id="42" name="Frame4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highlight w:val="white"/>
        </w:rPr>
        <w:t xml:space="preserve">Item 5. </w:t>
      </w:r>
      <w:r>
        <w:rPr>
          <w:rFonts w:ascii="Times New Roman;sans-serif" w:hAnsi="Times New Roman;sans-serif"/>
          <w:b/>
          <w:i/>
          <w:color w:val="000000"/>
          <w:sz w:val="20"/>
          <w:highlight w:val="white"/>
        </w:rPr>
        <w:t>Other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highlight w:val="white"/>
        </w:rPr>
        <w:t xml:space="preserve">Item 6. </w:t>
      </w:r>
      <w:r>
        <w:rPr>
          <w:rFonts w:ascii="Times New Roman;sans-serif" w:hAnsi="Times New Roman;sans-serif"/>
          <w:b/>
          <w:i/>
          <w:color w:val="000000"/>
          <w:sz w:val="20"/>
          <w:highlight w:val="white"/>
        </w:rPr>
        <w:t>Exhibits</w:t>
      </w:r>
    </w:p>
    <w:tbl>
      <w:tblPr>
        <w:tblW w:w="10539" w:type="dxa"/>
        <w:jc w:val="left"/>
        <w:tblInd w:w="0" w:type="dxa"/>
        <w:tblCellMar>
          <w:top w:w="28" w:type="dxa"/>
          <w:left w:w="28" w:type="dxa"/>
          <w:bottom w:w="28" w:type="dxa"/>
          <w:right w:w="28" w:type="dxa"/>
        </w:tblCellMar>
      </w:tblPr>
      <w:tblGrid>
        <w:gridCol w:w="266"/>
        <w:gridCol w:w="234"/>
        <w:gridCol w:w="235"/>
        <w:gridCol w:w="2876"/>
        <w:gridCol w:w="2854"/>
        <w:gridCol w:w="4074"/>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876" w:type="dxa"/>
            <w:tcBorders/>
            <w:shd w:fill="auto" w:val="clear"/>
            <w:vAlign w:val="center"/>
          </w:tcPr>
          <w:p>
            <w:pPr>
              <w:pStyle w:val="TableContents"/>
              <w:spacing w:before="0" w:after="283"/>
              <w:rPr>
                <w:sz w:val="4"/>
                <w:szCs w:val="4"/>
              </w:rPr>
            </w:pPr>
            <w:r>
              <w:rPr>
                <w:sz w:val="4"/>
                <w:szCs w:val="4"/>
              </w:rPr>
            </w:r>
          </w:p>
        </w:tc>
        <w:tc>
          <w:tcPr>
            <w:tcW w:w="2854" w:type="dxa"/>
            <w:tcBorders/>
            <w:shd w:fill="auto" w:val="clear"/>
            <w:vAlign w:val="center"/>
          </w:tcPr>
          <w:p>
            <w:pPr>
              <w:pStyle w:val="TableContents"/>
              <w:spacing w:before="0" w:after="283"/>
              <w:rPr>
                <w:sz w:val="4"/>
                <w:szCs w:val="4"/>
              </w:rPr>
            </w:pPr>
            <w:r>
              <w:rPr>
                <w:sz w:val="4"/>
                <w:szCs w:val="4"/>
              </w:rPr>
            </w:r>
          </w:p>
        </w:tc>
        <w:tc>
          <w:tcPr>
            <w:tcW w:w="4074" w:type="dxa"/>
            <w:tcBorders/>
            <w:shd w:fill="auto" w:val="cle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highlight w:val="white"/>
              </w:rPr>
              <w:t>Exhibit</w:t>
            </w:r>
            <w:r>
              <w:rPr>
                <w:color w:val="000000"/>
                <w:highlight w:val="white"/>
              </w:rPr>
              <w:t xml:space="preserve"> </w:t>
            </w:r>
          </w:p>
          <w:p>
            <w:pPr>
              <w:pStyle w:val="TableContents"/>
              <w:spacing w:lineRule="auto" w:line="240" w:before="0" w:after="0"/>
              <w:jc w:val="center"/>
              <w:rPr>
                <w:rFonts w:ascii="Times New Roman;sans-serif" w:hAnsi="Times New Roman;sans-serif"/>
                <w:b/>
                <w:color w:val="000000"/>
                <w:sz w:val="18"/>
                <w:highlight w:val="white"/>
                <w:u w:val="single"/>
              </w:rPr>
            </w:pPr>
            <w:r>
              <w:rPr>
                <w:rFonts w:ascii="Times New Roman;sans-serif" w:hAnsi="Times New Roman;sans-serif"/>
                <w:b/>
                <w:color w:val="000000"/>
                <w:sz w:val="18"/>
                <w:highlight w:val="white"/>
                <w:u w:val="single"/>
              </w:rPr>
              <w:t>No.</w:t>
            </w:r>
          </w:p>
        </w:tc>
        <w:tc>
          <w:tcPr>
            <w:tcW w:w="9804"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color w:val="000000"/>
                <w:sz w:val="18"/>
                <w:highlight w:val="white"/>
                <w:u w:val="single"/>
              </w:rPr>
            </w:pPr>
            <w:r>
              <w:rPr>
                <w:rFonts w:ascii="Times New Roman;sans-serif" w:hAnsi="Times New Roman;sans-serif"/>
                <w:b/>
                <w:color w:val="000000"/>
                <w:sz w:val="18"/>
                <w:highlight w:val="white"/>
                <w:u w:val="single"/>
              </w:rPr>
              <w:t>Description</w:t>
            </w:r>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3.1 —</w:t>
            </w:r>
          </w:p>
        </w:tc>
        <w:tc>
          <w:tcPr>
            <w:tcW w:w="980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3">
              <w:r>
                <w:rPr>
                  <w:rStyle w:val="InternetLink"/>
                  <w:rFonts w:ascii="Times New Roman;sans-serif" w:hAnsi="Times New Roman;sans-serif"/>
                  <w:b w:val="false"/>
                  <w:color w:val="0000FF"/>
                  <w:sz w:val="20"/>
                  <w:highlight w:val="white"/>
                  <w:u w:val="single"/>
                </w:rPr>
                <w:t xml:space="preserve">Second Amended and Restated Certificate of Incorporation of IES Holdings, Inc., as amended by the Certificate of Amendment thereto, effective May 24, 2016 (composite). (Incorporated by reference to Exhibit 3.1 to the Company’s Quarterly Report on Form 10-Q filed on August 8, 2016) </w:t>
              </w:r>
            </w:hyperlink>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3.2 —</w:t>
            </w:r>
          </w:p>
        </w:tc>
        <w:tc>
          <w:tcPr>
            <w:tcW w:w="980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4">
              <w:r>
                <w:rPr>
                  <w:rStyle w:val="InternetLink"/>
                  <w:rFonts w:ascii="Times New Roman;sans-serif" w:hAnsi="Times New Roman;sans-serif"/>
                  <w:b w:val="false"/>
                  <w:color w:val="0000FF"/>
                  <w:sz w:val="20"/>
                  <w:highlight w:val="white"/>
                  <w:u w:val="single"/>
                </w:rPr>
                <w:t>Certificate of Designation of Series A Junior Participating Preferred Stock (Incorporated by reference to Exhibit 3.1 to the Company’s Current Report on Form 8-K filed on January 28, 2013)</w:t>
              </w:r>
            </w:hyperlink>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3.3 —</w:t>
            </w:r>
          </w:p>
        </w:tc>
        <w:tc>
          <w:tcPr>
            <w:tcW w:w="980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5">
              <w:r>
                <w:rPr>
                  <w:rStyle w:val="InternetLink"/>
                  <w:rFonts w:ascii="Times New Roman;sans-serif" w:hAnsi="Times New Roman;sans-serif"/>
                  <w:b w:val="false"/>
                  <w:color w:val="0000FF"/>
                  <w:sz w:val="20"/>
                  <w:highlight w:val="white"/>
                  <w:u w:val="single"/>
                </w:rPr>
                <w:t>Amended and Restated Bylaws of IES Holdings, Inc., effective November 6, 2019 (Incorporated by reference to Exhibit 3.1 to the Company's Current Report on Form 8-K filed on November 8, 2019)</w:t>
              </w:r>
            </w:hyperlink>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4.1 —</w:t>
            </w:r>
          </w:p>
        </w:tc>
        <w:tc>
          <w:tcPr>
            <w:tcW w:w="980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6">
              <w:r>
                <w:rPr>
                  <w:rStyle w:val="InternetLink"/>
                  <w:rFonts w:ascii="Times New Roman;sans-serif" w:hAnsi="Times New Roman;sans-serif"/>
                  <w:b w:val="false"/>
                  <w:color w:val="0000FF"/>
                  <w:sz w:val="20"/>
                  <w:highlight w:val="white"/>
                  <w:u w:val="single"/>
                </w:rPr>
                <w:t>Specimen common stock certificate. (Incorporated by reference to Exhibit 4.1 to the Company’s Annual Report on Form 10-K filed on December 9, 2016)</w:t>
              </w:r>
            </w:hyperlink>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4.2 —</w:t>
            </w:r>
          </w:p>
        </w:tc>
        <w:tc>
          <w:tcPr>
            <w:tcW w:w="980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7">
              <w:r>
                <w:rPr>
                  <w:rStyle w:val="InternetLink"/>
                  <w:rFonts w:ascii="Times New Roman;sans-serif" w:hAnsi="Times New Roman;sans-serif"/>
                  <w:b w:val="false"/>
                  <w:color w:val="0000FF"/>
                  <w:sz w:val="20"/>
                  <w:highlight w:val="white"/>
                  <w:u w:val="single"/>
                </w:rPr>
                <w:t>Tax Benefit Protection Plan Agreement by and between IES Holdings, Inc. and American Stock Transfer &amp; Trust Company, LLC, as Rights Agent, dated as of November 8, 2016, including the form of Rights Certificate and Summary of Stockholder Rights Plan attached thereto as Exhibits A and B, respectively. (Incorporated by reference to Exhibit 4.1 to the Company’s Current Report on Form 8-K filed on November 9, 2016)</w:t>
              </w:r>
            </w:hyperlink>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31.1 —</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32020ex311.htm">
              <w:r>
                <w:rPr>
                  <w:rStyle w:val="InternetLink"/>
                </w:rPr>
                <w:t xml:space="preserve">Rule 13a-14(a)/15d-14(a) Certification of </w:t>
              </w:r>
            </w:hyperlink>
            <w:hyperlink w:anchor="q32020ex311.htm">
              <w:r>
                <w:rPr>
                  <w:rStyle w:val="InternetLink"/>
                </w:rPr>
                <w:t>Jeffrey L</w:t>
              </w:r>
            </w:hyperlink>
            <w:hyperlink w:anchor="q32020ex311.htm">
              <w:r>
                <w:rPr>
                  <w:rStyle w:val="InternetLink"/>
                </w:rPr>
                <w:t>. Gendell</w:t>
              </w:r>
            </w:hyperlink>
            <w:hyperlink w:anchor="q32020ex311.htm">
              <w:r>
                <w:rPr>
                  <w:rStyle w:val="InternetLink"/>
                </w:rPr>
                <w:t>, Chief Executive Officer</w:t>
              </w:r>
            </w:hyperlink>
            <w:r>
              <w:rPr>
                <w:color w:val="000000"/>
                <w:highlight w:val="white"/>
              </w:rPr>
              <w:t xml:space="preserve"> </w:t>
            </w:r>
            <w:r>
              <w:rPr>
                <w:rFonts w:ascii="Times New Roman;sans-serif" w:hAnsi="Times New Roman;sans-serif"/>
                <w:b w:val="false"/>
                <w:color w:val="000000"/>
                <w:sz w:val="13"/>
                <w:highlight w:val="white"/>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31.2 —</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q32020ex312.htm">
              <w:r>
                <w:rPr>
                  <w:rStyle w:val="InternetLink"/>
                  <w:rFonts w:ascii="Times New Roman;sans-serif" w:hAnsi="Times New Roman;sans-serif"/>
                  <w:b w:val="false"/>
                  <w:color w:val="0000FF"/>
                  <w:sz w:val="20"/>
                  <w:highlight w:val="white"/>
                  <w:u w:val="single"/>
                </w:rPr>
                <w:t xml:space="preserve">Rule 13a-14(a)/15d-14(a) Certification of Tracy A. McLauchlin, Senior Vice President, Chief Financial Officer and Treasurer </w:t>
              </w:r>
            </w:hyperlink>
            <w:r>
              <w:rPr>
                <w:rFonts w:ascii="Times New Roman;sans-serif" w:hAnsi="Times New Roman;sans-serif"/>
                <w:b w:val="false"/>
                <w:color w:val="000000"/>
                <w:sz w:val="13"/>
                <w:highlight w:val="white"/>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32.1 —</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32020ex321.htm">
              <w:r>
                <w:rPr>
                  <w:rStyle w:val="InternetLink"/>
                </w:rPr>
                <w:t xml:space="preserve">Section 1350 Certification of </w:t>
              </w:r>
            </w:hyperlink>
            <w:hyperlink w:anchor="q32020ex321.htm">
              <w:r>
                <w:rPr>
                  <w:rStyle w:val="InternetLink"/>
                </w:rPr>
                <w:t>Jeffrey L. Gendell</w:t>
              </w:r>
            </w:hyperlink>
            <w:hyperlink w:anchor="q32020ex321.htm">
              <w:r>
                <w:rPr>
                  <w:rStyle w:val="InternetLink"/>
                </w:rPr>
                <w:t>, Chief Executive Officer</w:t>
              </w:r>
            </w:hyperlink>
            <w:r>
              <w:rPr>
                <w:color w:val="000000"/>
                <w:highlight w:val="white"/>
              </w:rPr>
              <w:t xml:space="preserve"> </w:t>
            </w:r>
            <w:r>
              <w:rPr>
                <w:rFonts w:ascii="Times New Roman;sans-serif" w:hAnsi="Times New Roman;sans-serif"/>
                <w:b w:val="false"/>
                <w:color w:val="000000"/>
                <w:sz w:val="13"/>
                <w:highlight w:val="white"/>
              </w:rPr>
              <w:t>(2)</w:t>
            </w:r>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32.2 —</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q32020ex322.htm">
              <w:r>
                <w:rPr>
                  <w:rStyle w:val="InternetLink"/>
                  <w:rFonts w:ascii="Times New Roman;sans-serif" w:hAnsi="Times New Roman;sans-serif"/>
                  <w:b w:val="false"/>
                  <w:color w:val="0000FF"/>
                  <w:sz w:val="20"/>
                  <w:highlight w:val="white"/>
                  <w:u w:val="single"/>
                </w:rPr>
                <w:t>Section 1350 Certification of Tracy A. McLauchlin, Senior Vice President, Chief Financial Officer and Treasurer</w:t>
              </w:r>
            </w:hyperlink>
            <w:r>
              <w:rPr>
                <w:color w:val="000000"/>
                <w:highlight w:val="white"/>
              </w:rPr>
              <w:t xml:space="preserve"> </w:t>
            </w:r>
            <w:r>
              <w:rPr>
                <w:rFonts w:ascii="Times New Roman;sans-serif" w:hAnsi="Times New Roman;sans-serif"/>
                <w:b w:val="false"/>
                <w:color w:val="000000"/>
                <w:sz w:val="13"/>
                <w:highlight w:val="white"/>
              </w:rPr>
              <w:t>(2)</w:t>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101.INS</w:t>
            </w:r>
          </w:p>
        </w:tc>
        <w:tc>
          <w:tcPr>
            <w:tcW w:w="980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highlight w:val="white"/>
              </w:rPr>
              <w:t xml:space="preserve">Inline XBRL Instance Document - the instance document does not appear in the Interactive Data File because its XBRL tags are embedded within the Inline XBRL document </w:t>
            </w:r>
            <w:r>
              <w:rPr>
                <w:rFonts w:ascii="Times New Roman;sans-serif" w:hAnsi="Times New Roman;sans-serif"/>
                <w:b w:val="false"/>
                <w:color w:val="000000"/>
                <w:sz w:val="13"/>
                <w:highlight w:val="white"/>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101.SCH</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highlight w:val="white"/>
              </w:rPr>
              <w:t xml:space="preserve">XBRL Schema Document </w:t>
            </w:r>
            <w:r>
              <w:rPr>
                <w:rFonts w:ascii="Times New Roman;sans-serif" w:hAnsi="Times New Roman;sans-serif"/>
                <w:b w:val="false"/>
                <w:color w:val="000000"/>
                <w:sz w:val="13"/>
                <w:highlight w:val="white"/>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101.LAB</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highlight w:val="white"/>
              </w:rPr>
              <w:t xml:space="preserve">XBRL Label Linkbase Document </w:t>
            </w:r>
            <w:r>
              <w:rPr>
                <w:rFonts w:ascii="Times New Roman;sans-serif" w:hAnsi="Times New Roman;sans-serif"/>
                <w:b w:val="false"/>
                <w:color w:val="000000"/>
                <w:sz w:val="13"/>
                <w:highlight w:val="white"/>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101.PRE</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highlight w:val="white"/>
              </w:rPr>
              <w:t xml:space="preserve">XBRL Presentation Linkbase Document </w:t>
            </w:r>
            <w:r>
              <w:rPr>
                <w:rFonts w:ascii="Times New Roman;sans-serif" w:hAnsi="Times New Roman;sans-serif"/>
                <w:b w:val="false"/>
                <w:color w:val="000000"/>
                <w:sz w:val="13"/>
                <w:highlight w:val="white"/>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101.DEF</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highlight w:val="white"/>
              </w:rPr>
              <w:t xml:space="preserve">XBRL Definition Linkbase Document </w:t>
            </w:r>
            <w:r>
              <w:rPr>
                <w:rFonts w:ascii="Times New Roman;sans-serif" w:hAnsi="Times New Roman;sans-serif"/>
                <w:b w:val="false"/>
                <w:color w:val="000000"/>
                <w:sz w:val="13"/>
                <w:highlight w:val="white"/>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101.CAL</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highlight w:val="white"/>
              </w:rPr>
              <w:t xml:space="preserve">XBRL Calculation Linkbase Document </w:t>
            </w:r>
            <w:r>
              <w:rPr>
                <w:rFonts w:ascii="Times New Roman;sans-serif" w:hAnsi="Times New Roman;sans-serif"/>
                <w:b w:val="false"/>
                <w:color w:val="000000"/>
                <w:sz w:val="13"/>
                <w:highlight w:val="white"/>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104</w:t>
            </w:r>
          </w:p>
        </w:tc>
        <w:tc>
          <w:tcPr>
            <w:tcW w:w="980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Cover Page Interactive Data File - the cover page interactive data file does not appear in the Interactive Data File because its XBRL tags are embedded within the Inline XBRL document</w:t>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w:t>
            </w:r>
          </w:p>
        </w:tc>
        <w:tc>
          <w:tcPr>
            <w:tcW w:w="980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Filed herewith.</w:t>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w:t>
            </w:r>
          </w:p>
        </w:tc>
        <w:tc>
          <w:tcPr>
            <w:tcW w:w="980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Furnished herewith.</w:t>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jc w:val="righ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t>
            </w:r>
          </w:p>
        </w:tc>
        <w:tc>
          <w:tcPr>
            <w:tcW w:w="9804"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Management contract or compensatory plan or arrangement.</w:t>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SIGNATURES</w:t>
      </w:r>
    </w:p>
    <w:p>
      <w:pPr>
        <w:pStyle w:val="TextBody"/>
        <w:spacing w:lineRule="auto" w:line="288" w:before="0" w:after="0"/>
        <w:jc w:val="both"/>
        <w:rPr>
          <w:color w:val="000000"/>
          <w:highlight w:val="white"/>
        </w:rPr>
      </w:pPr>
      <w:r>
        <w:rPr>
          <w:color w:val="000000"/>
          <w:highlight w:val="white"/>
        </w:rPr>
        <w:t> </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requirements of Section 13 or 15(d) of the Securities Exchange Act of 1934, the Registrant has duly caused this report to be signed on its behalf by the undersigned, thereunto duly authorized, on August 7, 2020.</w:t>
      </w:r>
    </w:p>
    <w:p>
      <w:pPr>
        <w:pStyle w:val="TextBody"/>
        <w:spacing w:before="0" w:after="0"/>
        <w:rPr/>
      </w:pPr>
      <w:r>
        <w:rPr/>
      </w:r>
    </w:p>
    <w:p>
      <w:pPr>
        <w:pStyle w:val="TextBody"/>
        <w:spacing w:before="0" w:after="0"/>
        <w:rPr/>
      </w:pPr>
      <w:r>
        <w:rPr/>
      </w:r>
    </w:p>
    <w:tbl>
      <w:tblPr>
        <w:tblW w:w="6417" w:type="dxa"/>
        <w:jc w:val="left"/>
        <w:tblInd w:w="0" w:type="dxa"/>
        <w:tblCellMar>
          <w:top w:w="28" w:type="dxa"/>
          <w:left w:w="28" w:type="dxa"/>
          <w:bottom w:w="28" w:type="dxa"/>
          <w:right w:w="28" w:type="dxa"/>
        </w:tblCellMar>
      </w:tblPr>
      <w:tblGrid>
        <w:gridCol w:w="124"/>
        <w:gridCol w:w="109"/>
        <w:gridCol w:w="109"/>
        <w:gridCol w:w="329"/>
        <w:gridCol w:w="329"/>
        <w:gridCol w:w="329"/>
        <w:gridCol w:w="1633"/>
        <w:gridCol w:w="1633"/>
        <w:gridCol w:w="1668"/>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1" w:type="dxa"/>
            <w:gridSpan w:val="6"/>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color w:val="000000"/>
                <w:sz w:val="20"/>
                <w:highlight w:val="white"/>
              </w:rPr>
            </w:pPr>
            <w:r>
              <w:rPr>
                <w:rFonts w:ascii="Times New Roman;sans-serif" w:hAnsi="Times New Roman;sans-serif"/>
                <w:b/>
                <w:color w:val="000000"/>
                <w:sz w:val="20"/>
                <w:highlight w:val="white"/>
              </w:rPr>
              <w:t>IES HOLDINGS, INC.</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By:</w:t>
            </w:r>
          </w:p>
        </w:tc>
        <w:tc>
          <w:tcPr>
            <w:tcW w:w="4934"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 TRACY A. MCLAUCHLIN</w:t>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Tracy A. McLauchlin</w:t>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4"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Senior Vice President, Chief Financial Officer and Treasurer</w:t>
            </w:r>
          </w:p>
        </w:tc>
        <w:tc>
          <w:tcPr>
            <w:tcW w:w="154" w:type="dxa"/>
            <w:tcBorders/>
            <w:shd w:fill="auto" w:val="clea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4"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(Principal Financial Officer and Authorized Signatory)</w:t>
            </w:r>
          </w:p>
        </w:tc>
        <w:tc>
          <w:tcPr>
            <w:tcW w:w="154" w:type="dxa"/>
            <w:tcBorders/>
            <w:shd w:fill="auto" w:val="clea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46685"/>
                <wp:effectExtent l="0" t="0" r="0" b="0"/>
                <wp:wrapNone/>
                <wp:docPr id="44"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43</w:t>
                      </w:r>
                    </w:p>
                  </w:txbxContent>
                </v:textbox>
              </v:rect>
            </w:pict>
          </mc:Fallback>
        </mc:AlternateContent>
      </w:r>
    </w:p>
    <w:p>
      <w:pPr>
        <w:pStyle w:val="TextBody"/>
        <w:spacing w:before="0" w:after="0"/>
        <w:rPr/>
      </w:pPr>
      <w:r>
        <w:rPr/>
      </w:r>
    </w:p>
    <w:p>
      <w:pPr>
        <w:pStyle w:val="TextBody"/>
        <w:spacing w:lineRule="auto" w:line="288" w:before="220" w:after="283"/>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31.1</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w:t>
      </w:r>
    </w:p>
    <w:p>
      <w:pPr>
        <w:pStyle w:val="TextBody"/>
        <w:spacing w:lineRule="auto" w:line="288" w:before="1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Jeffrey L. Gendell, certify that:</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1. I have reviewed this Quarterly Report on Form 10-Q of IES Holdings, Inc.;</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(b) Any fraud, whether or not material, that involves management or other employees who have a significant role in the Registrant’s internal control over financial reporting.</w:t>
      </w:r>
    </w:p>
    <w:p>
      <w:pPr>
        <w:pStyle w:val="TextBody"/>
        <w:spacing w:lineRule="auto" w:line="288" w:before="1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August 7, 2020 </w:t>
      </w:r>
    </w:p>
    <w:tbl>
      <w:tblPr>
        <w:tblW w:w="5501" w:type="dxa"/>
        <w:jc w:val="left"/>
        <w:tblInd w:w="0" w:type="dxa"/>
        <w:tblCellMar>
          <w:top w:w="28" w:type="dxa"/>
          <w:left w:w="28" w:type="dxa"/>
          <w:bottom w:w="28" w:type="dxa"/>
          <w:right w:w="28" w:type="dxa"/>
        </w:tblCellMar>
      </w:tblPr>
      <w:tblGrid>
        <w:gridCol w:w="124"/>
        <w:gridCol w:w="109"/>
        <w:gridCol w:w="109"/>
        <w:gridCol w:w="1509"/>
        <w:gridCol w:w="1509"/>
        <w:gridCol w:w="214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highlight w:val="white"/>
              </w:rPr>
              <w:t>/s/  </w:t>
            </w:r>
            <w:r>
              <w:rPr>
                <w:rFonts w:ascii="Times New Roman;sans-serif" w:hAnsi="Times New Roman;sans-serif"/>
                <w:b w:val="false"/>
                <w:color w:val="000000"/>
                <w:sz w:val="18"/>
                <w:highlight w:val="white"/>
              </w:rPr>
              <w:t>JEFFREY L. GENDELL</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Jeffrey L. Gendell</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Interim Chief Executive Officer as Principal Executive Officer</w:t>
            </w:r>
          </w:p>
          <w:p>
            <w:pPr>
              <w:pStyle w:val="TableContents"/>
              <w:spacing w:lineRule="auto" w:line="288" w:before="0" w:after="0"/>
              <w:jc w:val="center"/>
              <w:rPr>
                <w:color w:val="000000"/>
                <w:highlight w:val="white"/>
              </w:rPr>
            </w:pPr>
            <w:r>
              <w:rPr>
                <w:color w:val="000000"/>
                <w:highlight w:val="white"/>
              </w:rPr>
              <w:t> </w:t>
            </w:r>
          </w:p>
        </w:tc>
      </w:tr>
    </w:tbl>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75260"/>
                <wp:effectExtent l="0" t="0" r="0" b="0"/>
                <wp:wrapNone/>
                <wp:docPr id="45" name="Frame4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60" w:after="283"/>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31.2</w:t>
      </w:r>
    </w:p>
    <w:p>
      <w:pPr>
        <w:pStyle w:val="TextBody"/>
        <w:spacing w:lineRule="auto" w:line="288" w:before="1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w:t>
      </w:r>
    </w:p>
    <w:p>
      <w:pPr>
        <w:pStyle w:val="TextBody"/>
        <w:spacing w:lineRule="auto" w:line="288" w:before="1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Tracy A. McLauchlin, certify that:</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1. I have reviewed this Quarterly Report on Form 10-Q of IES Holdings, Inc.;</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highlight w:val="white"/>
        </w:rPr>
      </w:pPr>
      <w:r>
        <w:rPr>
          <w:color w:val="000000"/>
          <w:highlight w:val="white"/>
        </w:rPr>
        <w:t>     </w:t>
      </w:r>
      <w:r>
        <w:rPr>
          <w:rFonts w:ascii="Times New Roman;sans-serif" w:hAnsi="Times New Roman;sans-serif"/>
          <w:b w:val="false"/>
          <w:color w:val="000000"/>
          <w:sz w:val="20"/>
          <w:highlight w:val="white"/>
        </w:rPr>
        <w:t>(b) Any fraud, whether or not material, that involves management or other employees who have a significant role in the Registrant’s internal control over financial reporting.</w:t>
      </w:r>
    </w:p>
    <w:p>
      <w:pPr>
        <w:pStyle w:val="TextBody"/>
        <w:spacing w:lineRule="auto" w:line="288" w:before="1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Date: August 7, 2020 </w:t>
      </w:r>
    </w:p>
    <w:tbl>
      <w:tblPr>
        <w:tblW w:w="5322" w:type="dxa"/>
        <w:jc w:val="left"/>
        <w:tblInd w:w="0" w:type="dxa"/>
        <w:tblCellMar>
          <w:top w:w="28" w:type="dxa"/>
          <w:left w:w="28" w:type="dxa"/>
          <w:bottom w:w="28" w:type="dxa"/>
          <w:right w:w="28" w:type="dxa"/>
        </w:tblCellMar>
      </w:tblPr>
      <w:tblGrid>
        <w:gridCol w:w="124"/>
        <w:gridCol w:w="109"/>
        <w:gridCol w:w="109"/>
        <w:gridCol w:w="1458"/>
        <w:gridCol w:w="1458"/>
        <w:gridCol w:w="20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  TRACY A. MCLAUCHLIN</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Tracy A. McLauchlin</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Senior Vice President, Chief Financial Officer and Treasurer</w:t>
            </w:r>
          </w:p>
          <w:p>
            <w:pPr>
              <w:pStyle w:val="TableContents"/>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Principal Financial Officer</w:t>
            </w:r>
          </w:p>
          <w:p>
            <w:pPr>
              <w:pStyle w:val="TableContents"/>
              <w:spacing w:lineRule="auto" w:line="288" w:before="0" w:after="0"/>
              <w:jc w:val="center"/>
              <w:rPr>
                <w:color w:val="000000"/>
                <w:highlight w:val="white"/>
              </w:rPr>
            </w:pPr>
            <w:r>
              <w:rPr>
                <w:color w:val="000000"/>
                <w:highlight w:val="white"/>
              </w:rPr>
              <w:t> </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75260"/>
                <wp:effectExtent l="0" t="0" r="0" b="0"/>
                <wp:wrapNone/>
                <wp:docPr id="46" name="Frame4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32.1</w:t>
      </w:r>
    </w:p>
    <w:p>
      <w:pPr>
        <w:pStyle w:val="TextBody"/>
        <w:spacing w:lineRule="auto" w:line="288" w:before="2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AS ADOPTED PURSUANT TO</w:t>
      </w:r>
    </w:p>
    <w:p>
      <w:pPr>
        <w:pStyle w:val="TextBody"/>
        <w:spacing w:lineRule="auto" w:line="288" w:before="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88" w:before="1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connection with this Quarterly Report of IES Holdings, Inc. (the “Company”) on Form 10-Q for the period ending June 30, 2020 (the “Report”), I, Jeffrey L. Gendell, Interim Chief Executive Officer of the Company, certify, pursuant to 18 U.S.C. § 1350, as adopted pursuant to § 906 of the Sarbanes-Oxley Act of 2002, that:</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(1)The Report fully complies with the requirements of section 13(a) or 15(d) of the Securities Exchange Act of 1934; and</w:t>
      </w:r>
    </w:p>
    <w:p>
      <w:pPr>
        <w:pStyle w:val="TextBody"/>
        <w:spacing w:lineRule="auto" w:line="288" w:before="140" w:after="283"/>
        <w:ind w:left="0" w:right="0" w:hanging="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(2)The information contained in the Report fairly presents, in all material respects, the financial condition and results of operations of the Company.</w:t>
      </w:r>
    </w:p>
    <w:p>
      <w:pPr>
        <w:pStyle w:val="TextBody"/>
        <w:spacing w:before="140" w:after="283"/>
        <w:jc w:val="both"/>
        <w:rPr/>
      </w:pPr>
      <w:r>
        <w:rPr/>
      </w:r>
    </w:p>
    <w:p>
      <w:pPr>
        <w:pStyle w:val="TextBody"/>
        <w:spacing w:before="0" w:after="0"/>
        <w:ind w:left="0" w:right="0" w:firstLine="720"/>
        <w:jc w:val="both"/>
        <w:rPr/>
      </w:pPr>
      <w:r>
        <w:rPr/>
      </w:r>
    </w:p>
    <w:tbl>
      <w:tblPr>
        <w:tblW w:w="8126" w:type="dxa"/>
        <w:jc w:val="left"/>
        <w:tblInd w:w="0" w:type="dxa"/>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109"/>
        <w:gridCol w:w="109"/>
        <w:gridCol w:w="109"/>
        <w:gridCol w:w="406"/>
        <w:gridCol w:w="5221"/>
      </w:tblGrid>
      <w:tr>
        <w:trPr/>
        <w:tc>
          <w:tcPr>
            <w:tcW w:w="22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tcPr>
          <w:p>
            <w:pPr>
              <w:pStyle w:val="TableContents"/>
              <w:spacing w:before="0" w:after="283"/>
              <w:rPr>
                <w:sz w:val="4"/>
                <w:szCs w:val="4"/>
              </w:rPr>
            </w:pPr>
            <w:r>
              <w:rPr>
                <w:sz w:val="4"/>
                <w:szCs w:val="4"/>
              </w:rPr>
            </w:r>
          </w:p>
        </w:tc>
        <w:tc>
          <w:tcPr>
            <w:tcW w:w="5221" w:type="dxa"/>
            <w:tcBorders/>
            <w:shd w:fill="auto" w:val="clear"/>
          </w:tcPr>
          <w:p>
            <w:pPr>
              <w:pStyle w:val="TableContents"/>
              <w:spacing w:before="0" w:after="283"/>
              <w:rPr>
                <w:sz w:val="4"/>
                <w:szCs w:val="4"/>
              </w:rPr>
            </w:pPr>
            <w:r>
              <w:rPr>
                <w:sz w:val="4"/>
                <w:szCs w:val="4"/>
              </w:rPr>
            </w:r>
          </w:p>
        </w:tc>
      </w:tr>
      <w:tr>
        <w:trPr/>
        <w:tc>
          <w:tcPr>
            <w:tcW w:w="1845" w:type="dxa"/>
            <w:gridSpan w:val="9"/>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August 7, 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By:</w:t>
            </w:r>
          </w:p>
        </w:tc>
        <w:tc>
          <w:tcPr>
            <w:tcW w:w="5221" w:type="dxa"/>
            <w:tcBorders/>
            <w:shd w:fill="FFFFFF" w:val="clear"/>
            <w:tcMar>
              <w:top w:w="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 JEFFREY L. GENDELL</w:t>
            </w:r>
          </w:p>
        </w:tc>
      </w:tr>
      <w:tr>
        <w:trPr/>
        <w:tc>
          <w:tcPr>
            <w:tcW w:w="1845"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Jeffrey L. Gendell</w:t>
            </w:r>
          </w:p>
        </w:tc>
      </w:tr>
      <w:tr>
        <w:trPr/>
        <w:tc>
          <w:tcPr>
            <w:tcW w:w="1845"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1" w:type="dxa"/>
            <w:tcBorders/>
            <w:shd w:fill="FFFFFF" w:val="clear"/>
            <w:tcMar>
              <w:top w:w="0" w:type="dxa"/>
              <w:left w:w="0" w:type="dxa"/>
              <w:bottom w:w="0" w:type="dxa"/>
              <w:right w:w="0" w:type="dxa"/>
            </w:tcMar>
            <w:vAlign w:val="center"/>
          </w:tcPr>
          <w:p>
            <w:pPr>
              <w:pStyle w:val="TableContents"/>
              <w:spacing w:lineRule="auto" w:line="288" w:before="0" w:after="0"/>
              <w:jc w:val="center"/>
              <w:rPr>
                <w:color w:val="000000"/>
                <w:highlight w:val="white"/>
              </w:rPr>
            </w:pPr>
            <w:r>
              <w:rPr>
                <w:color w:val="000000"/>
                <w:highlight w:val="white"/>
              </w:rPr>
              <w:t> </w:t>
            </w:r>
            <w:r>
              <w:rPr>
                <w:rFonts w:ascii="Times New Roman;sans-serif" w:hAnsi="Times New Roman;sans-serif"/>
                <w:b w:val="false"/>
                <w:color w:val="000000"/>
                <w:sz w:val="20"/>
                <w:highlight w:val="white"/>
              </w:rPr>
              <w:t>Interim Chief Executive Officer as Principal Executive Officer</w:t>
            </w:r>
          </w:p>
          <w:p>
            <w:pPr>
              <w:pStyle w:val="TableContents"/>
              <w:spacing w:before="0" w:after="0"/>
              <w:jc w:val="center"/>
              <w:rPr/>
            </w:pPr>
            <w:r>
              <w:rPr/>
            </w:r>
          </w:p>
        </w:tc>
      </w:tr>
      <w:tr>
        <w:trPr/>
        <w:tc>
          <w:tcPr>
            <w:tcW w:w="633"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27" w:type="dxa"/>
            <w:gridSpan w:val="2"/>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75260"/>
                <wp:effectExtent l="0" t="0" r="0" b="0"/>
                <wp:wrapNone/>
                <wp:docPr id="47" name="Frame4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32.2</w:t>
      </w:r>
    </w:p>
    <w:p>
      <w:pPr>
        <w:pStyle w:val="TextBody"/>
        <w:spacing w:lineRule="auto" w:line="288" w:before="2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AS ADOPTED PURSUANT TO</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88" w:before="1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connection with this Quarterly Report of IES Holdings, Inc. (the “Company”) on Form 10-Q for the period ending June 30, 2020 (the “Report”), I, Tracy A. McLauchlin, Senior Vice President, Chief Financial Officer and Treasurer of the Company, certify, pursuant to 18 U.S.C. § 1350, as adopted pursuant to § 906 of the Sarbanes-Oxley Act of 2002, that:</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(1)The Report fully complies with the requirements of section 13(a) or 15(d) of the Securities Exchange Act of 1934; and</w:t>
      </w:r>
    </w:p>
    <w:p>
      <w:pPr>
        <w:pStyle w:val="TextBody"/>
        <w:spacing w:lineRule="auto" w:line="288" w:before="140" w:after="283"/>
        <w:ind w:left="0" w:right="0" w:hanging="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(2)The information contained in the Report fairly presents, in all material respects, the financial condition and results of operations of the Company.</w:t>
      </w:r>
    </w:p>
    <w:p>
      <w:pPr>
        <w:pStyle w:val="TextBody"/>
        <w:spacing w:before="0" w:after="0"/>
        <w:ind w:left="0" w:right="0" w:firstLine="720"/>
        <w:jc w:val="both"/>
        <w:rPr/>
      </w:pPr>
      <w:r>
        <w:rPr/>
      </w:r>
    </w:p>
    <w:tbl>
      <w:tblPr>
        <w:tblW w:w="8322" w:type="dxa"/>
        <w:jc w:val="left"/>
        <w:tblInd w:w="0" w:type="dxa"/>
        <w:tblCellMar>
          <w:top w:w="28" w:type="dxa"/>
          <w:left w:w="28" w:type="dxa"/>
          <w:bottom w:w="28" w:type="dxa"/>
          <w:right w:w="28" w:type="dxa"/>
        </w:tblCellMar>
      </w:tblPr>
      <w:tblGrid>
        <w:gridCol w:w="173"/>
        <w:gridCol w:w="152"/>
        <w:gridCol w:w="152"/>
        <w:gridCol w:w="152"/>
        <w:gridCol w:w="152"/>
        <w:gridCol w:w="152"/>
        <w:gridCol w:w="152"/>
        <w:gridCol w:w="152"/>
        <w:gridCol w:w="152"/>
        <w:gridCol w:w="152"/>
        <w:gridCol w:w="152"/>
        <w:gridCol w:w="152"/>
        <w:gridCol w:w="109"/>
        <w:gridCol w:w="109"/>
        <w:gridCol w:w="109"/>
        <w:gridCol w:w="109"/>
        <w:gridCol w:w="109"/>
        <w:gridCol w:w="109"/>
        <w:gridCol w:w="109"/>
        <w:gridCol w:w="109"/>
        <w:gridCol w:w="109"/>
        <w:gridCol w:w="406"/>
        <w:gridCol w:w="4936"/>
        <w:gridCol w:w="154"/>
      </w:tblGrid>
      <w:tr>
        <w:trPr/>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tcPr>
          <w:p>
            <w:pPr>
              <w:pStyle w:val="TableContents"/>
              <w:spacing w:before="0" w:after="283"/>
              <w:rPr>
                <w:sz w:val="4"/>
                <w:szCs w:val="4"/>
              </w:rPr>
            </w:pPr>
            <w:r>
              <w:rPr>
                <w:sz w:val="4"/>
                <w:szCs w:val="4"/>
              </w:rPr>
            </w:r>
          </w:p>
        </w:tc>
        <w:tc>
          <w:tcPr>
            <w:tcW w:w="4936" w:type="dxa"/>
            <w:tcBorders/>
            <w:shd w:fill="auto" w:val="clea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845" w:type="dxa"/>
            <w:gridSpan w:val="12"/>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August 7, 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before="0" w:after="283"/>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By:</w:t>
            </w:r>
          </w:p>
        </w:tc>
        <w:tc>
          <w:tcPr>
            <w:tcW w:w="493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 TRACY A. MCLAUCHLIN</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845" w:type="dxa"/>
            <w:gridSpan w:val="1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Tracy A. McLauchlin</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845" w:type="dxa"/>
            <w:gridSpan w:val="1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6" w:type="dxa"/>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Senior Vice President, Chief Financial Officer and Treasurer</w:t>
            </w:r>
          </w:p>
          <w:p>
            <w:pPr>
              <w:pStyle w:val="TableContents"/>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Principal Financial Officer</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4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96" w:type="dxa"/>
            <w:gridSpan w:val="3"/>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75260"/>
                <wp:effectExtent l="0" t="0" r="0" b="0"/>
                <wp:wrapNone/>
                <wp:docPr id="48" name="Frame4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www.sec.gov/Archives/edgar/data/1048268/000119312516674386/d211495dex31.htm" TargetMode="External"/><Relationship Id="rId4" Type="http://schemas.openxmlformats.org/officeDocument/2006/relationships/hyperlink" Target="http://www.sec.gov/Archives/edgar/data/1048268/000119312513026383/d474722dex31.htm" TargetMode="External"/><Relationship Id="rId5" Type="http://schemas.openxmlformats.org/officeDocument/2006/relationships/hyperlink" Target="https://www.sec.gov/Archives/edgar/data/1048268/000119312519287851/d823445d8k.htm" TargetMode="External"/><Relationship Id="rId6" Type="http://schemas.openxmlformats.org/officeDocument/2006/relationships/hyperlink" Target="http://www.sec.gov/Archives/edgar/data/1048268/000119312516789187/d310826dex41.htm" TargetMode="External"/><Relationship Id="rId7" Type="http://schemas.openxmlformats.org/officeDocument/2006/relationships/hyperlink" Target="http://www.sec.gov/Archives/edgar/data/1048268/000119312516763155/d487615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21319</Words>
  <CharactersWithSpaces>137774</CharactersWithSpaces>
  <Paragraphs>4233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