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10-K</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33"/>
        <w:gridCol w:w="1529"/>
        <w:gridCol w:w="22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r>
        <w:trPr/>
        <w:tc>
          <w:tcPr>
            <w:tcW w:w="492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For the fiscal year ended</w:t>
            </w:r>
          </w:p>
        </w:tc>
        <w:tc>
          <w:tcPr>
            <w:tcW w:w="5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22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Commission file number 001-13783 </w:t>
      </w:r>
    </w:p>
    <w:p>
      <w:pPr>
        <w:pStyle w:val="TextBody"/>
        <w:bidi w:val="0"/>
        <w:spacing w:before="0" w:after="0"/>
        <w:jc w:val="center"/>
        <w:rPr/>
      </w:pPr>
      <w:r>
        <w:rPr/>
        <w:drawing>
          <wp:inline distT="0" distB="0" distL="0" distR="0">
            <wp:extent cx="8477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IES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304" w:type="dxa"/>
        <w:jc w:val="center"/>
        <w:tblInd w:w="0" w:type="dxa"/>
        <w:tblLayout w:type="fixed"/>
        <w:tblCellMar>
          <w:top w:w="28" w:type="dxa"/>
          <w:left w:w="28" w:type="dxa"/>
          <w:bottom w:w="28" w:type="dxa"/>
          <w:right w:w="28" w:type="dxa"/>
        </w:tblCellMar>
      </w:tblPr>
      <w:tblGrid>
        <w:gridCol w:w="1648"/>
        <w:gridCol w:w="1450"/>
        <w:gridCol w:w="1462"/>
        <w:gridCol w:w="799"/>
        <w:gridCol w:w="799"/>
        <w:gridCol w:w="1146"/>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76-0542208</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13131 Dairy Ashford Rd., Suite 500, Sugar Land, Texas 77478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pPr>
      <w:r>
        <w:rPr>
          <w:rFonts w:ascii="Times New Roman;serif" w:hAnsi="Times New Roman;serif"/>
          <w:b/>
          <w:color w:val="000000"/>
          <w:sz w:val="18"/>
        </w:rPr>
        <w:t>Registrant’s telephone number, including area code:</w:t>
      </w:r>
      <w:r>
        <w:rPr>
          <w:color w:val="000000"/>
        </w:rPr>
        <w:t xml:space="preserve"> </w:t>
      </w:r>
      <w:r>
        <w:rPr>
          <w:rFonts w:ascii="Times New Roman;serif" w:hAnsi="Times New Roman;serif"/>
          <w:b/>
          <w:color w:val="000000"/>
          <w:sz w:val="18"/>
        </w:rPr>
        <w:t xml:space="preserve">(713) 860-1500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141" w:type="dxa"/>
        <w:jc w:val="center"/>
        <w:tblInd w:w="0" w:type="dxa"/>
        <w:tblLayout w:type="fixed"/>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IESC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Market</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xml:space="preserve"> ☐  </w:t>
      </w:r>
      <w:r>
        <w:rPr>
          <w:rFonts w:ascii="Times New Roman;serif" w:hAnsi="Times New Roman;serif"/>
          <w:b w:val="false"/>
          <w:color w:val="000000"/>
          <w:sz w:val="18"/>
        </w:rPr>
        <w:t>No </w:t>
      </w:r>
      <w:r>
        <w:rPr>
          <w:color w:val="000000"/>
        </w:rPr>
        <w:t xml:space="preserve">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Indicate by check mark if the registrant is not required to file reports pursuant to Section 13 or 15(d) of the Act.  Yes </w:t>
      </w:r>
      <w:r>
        <w:rPr>
          <w:color w:val="000000"/>
        </w:rPr>
        <w:t xml:space="preserve"> ☐  </w:t>
      </w:r>
      <w:r>
        <w:rPr>
          <w:rFonts w:ascii="Times New Roman;serif" w:hAnsi="Times New Roman;serif"/>
          <w:b w:val="false"/>
          <w:color w:val="000000"/>
          <w:sz w:val="18"/>
        </w:rPr>
        <w:t>No </w:t>
      </w:r>
      <w:r>
        <w:rPr>
          <w:color w:val="000000"/>
        </w:rPr>
        <w:t xml:space="preserve">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76" w:before="0" w:after="60"/>
        <w:jc w:val="left"/>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76" w:before="0" w:after="60"/>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76" w:before="0" w:after="60"/>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60"/>
        <w:jc w:val="left"/>
        <w:rPr/>
      </w:pPr>
      <w:r>
        <w:rPr>
          <w:rFonts w:ascii="Times New Roman;serif" w:hAnsi="Times New Roman;serif"/>
          <w:b w:val="false"/>
          <w:color w:val="000000"/>
          <w:sz w:val="18"/>
        </w:rPr>
        <w:t>Indicate by check mark whether the registrant is a shell company (as defined in Rule 12b-2 of the Act).  Yes </w:t>
      </w:r>
      <w:r>
        <w:rPr>
          <w:color w:val="000000"/>
        </w:rPr>
        <w:t xml:space="preserve"> ☐  </w:t>
      </w:r>
      <w:r>
        <w:rPr>
          <w:rFonts w:ascii="Times New Roman;serif" w:hAnsi="Times New Roman;serif"/>
          <w:b w:val="false"/>
          <w:color w:val="000000"/>
          <w:sz w:val="18"/>
        </w:rPr>
        <w:t>No </w:t>
      </w:r>
      <w:r>
        <w:rPr>
          <w:color w:val="000000"/>
        </w:rPr>
        <w:t xml:space="preserve">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The aggregate market value of the voting stock of the registrant held by non-affiliates as of March 31, 2025, was approximately $1,378.3 million. On November 17, 2025, there were 19,854,585 shares of common stock outstanding.</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Certain information contained in the Proxy Statement for the 2026 Annual Meeting of Stockholders of the Registrant to be held on February 19, 2026, is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746"/>
        <w:gridCol w:w="614"/>
        <w:gridCol w:w="614"/>
        <w:gridCol w:w="2753"/>
        <w:gridCol w:w="2468"/>
        <w:gridCol w:w="2435"/>
        <w:gridCol w:w="167"/>
        <w:gridCol w:w="167"/>
        <w:gridCol w:w="241"/>
      </w:tblGrid>
      <w:tr>
        <w:trPr/>
        <w:tc>
          <w:tcPr>
            <w:tcW w:w="7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c96c0408ab14e7fa4f245eb629b36ec_10">
              <w:r>
                <w:rPr>
                  <w:rStyle w:val="InternetLink"/>
                  <w:rFonts w:ascii="Times New Roman;serif" w:hAnsi="Times New Roman;serif"/>
                  <w:b/>
                  <w:color w:val="0000FF"/>
                  <w:sz w:val="20"/>
                  <w:u w:val="single"/>
                </w:rPr>
                <w:t>PART I</w:t>
              </w:r>
            </w:hyperlink>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
              <w:r>
                <w:rPr>
                  <w:rStyle w:val="InternetLink"/>
                  <w:rFonts w:ascii="Times New Roman;serif" w:hAnsi="Times New Roman;serif"/>
                  <w:b w:val="false"/>
                  <w:color w:val="0000FF"/>
                  <w:sz w:val="20"/>
                  <w:u w:val="single"/>
                </w:rPr>
                <w:t>DEFINITIONS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0">
              <w:r>
                <w:rPr>
                  <w:rStyle w:val="InternetLink"/>
                  <w:rFonts w:ascii="Times New Roman;serif" w:hAnsi="Times New Roman;serif"/>
                  <w:b w:val="false"/>
                  <w:color w:val="0000FF"/>
                  <w:sz w:val="20"/>
                  <w:u w:val="single"/>
                </w:rPr>
                <w:t>1</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
              <w:r>
                <w:rPr>
                  <w:rStyle w:val="InternetLink"/>
                  <w:rFonts w:ascii="Times New Roman;serif" w:hAnsi="Times New Roman;serif"/>
                  <w:b w:val="false"/>
                  <w:color w:val="0000FF"/>
                  <w:sz w:val="20"/>
                  <w:u w:val="single"/>
                </w:rPr>
                <w:t>DISCLOSURE REGARDING FORWARD LOOKING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0">
              <w:r>
                <w:rPr>
                  <w:rStyle w:val="InternetLink"/>
                  <w:rFonts w:ascii="Times New Roman;serif" w:hAnsi="Times New Roman;serif"/>
                  <w:b w:val="false"/>
                  <w:color w:val="0000FF"/>
                  <w:sz w:val="20"/>
                  <w:u w:val="single"/>
                </w:rPr>
                <w:t>1</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3">
              <w:r>
                <w:rPr>
                  <w:rStyle w:val="InternetLink"/>
                  <w:rFonts w:ascii="Times New Roman;serif" w:hAnsi="Times New Roman;serif"/>
                  <w:b w:val="false"/>
                  <w:color w:val="0000FF"/>
                  <w:sz w:val="20"/>
                  <w:u w:val="single"/>
                </w:rPr>
                <w:t xml:space="preserve">Item 1.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3">
              <w:r>
                <w:rPr>
                  <w:rStyle w:val="InternetLink"/>
                  <w:rFonts w:ascii="Times New Roman;serif" w:hAnsi="Times New Roman;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3">
              <w:r>
                <w:rPr>
                  <w:rStyle w:val="InternetLink"/>
                  <w:rFonts w:ascii="Times New Roman;serif" w:hAnsi="Times New Roman;serif"/>
                  <w:b w:val="false"/>
                  <w:color w:val="0000FF"/>
                  <w:sz w:val="20"/>
                  <w:u w:val="single"/>
                </w:rPr>
                <w:t>3</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37">
              <w:r>
                <w:rPr>
                  <w:rStyle w:val="InternetLink"/>
                  <w:rFonts w:ascii="Times New Roman;serif" w:hAnsi="Times New Roman;serif"/>
                  <w:b w:val="false"/>
                  <w:color w:val="0000FF"/>
                  <w:sz w:val="20"/>
                  <w:u w:val="single"/>
                </w:rPr>
                <w:t xml:space="preserve">Item 1A.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37">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37">
              <w:r>
                <w:rPr>
                  <w:rStyle w:val="InternetLink"/>
                  <w:rFonts w:ascii="Times New Roman;serif" w:hAnsi="Times New Roman;serif"/>
                  <w:b w:val="false"/>
                  <w:color w:val="0000FF"/>
                  <w:sz w:val="20"/>
                  <w:u w:val="single"/>
                </w:rPr>
                <w:t>12</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40">
              <w:r>
                <w:rPr>
                  <w:rStyle w:val="InternetLink"/>
                  <w:rFonts w:ascii="Times New Roman;serif" w:hAnsi="Times New Roman;serif"/>
                  <w:b w:val="false"/>
                  <w:color w:val="0000FF"/>
                  <w:sz w:val="20"/>
                  <w:u w:val="single"/>
                </w:rPr>
                <w:t xml:space="preserve">Item 1B. </w:t>
              </w:r>
            </w:hyperlink>
          </w:p>
        </w:tc>
        <w:tc>
          <w:tcPr>
            <w:tcW w:w="76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96c0408ab14e7fa4f245eb629b36ec_40">
              <w:r>
                <w:rPr>
                  <w:rStyle w:val="InternetLink"/>
                  <w:rFonts w:ascii="Times New Roman;serif" w:hAnsi="Times New Roman;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40">
              <w:r>
                <w:rPr>
                  <w:rStyle w:val="InternetLink"/>
                  <w:rFonts w:ascii="Times New Roman;serif" w:hAnsi="Times New Roman;serif"/>
                  <w:b w:val="false"/>
                  <w:color w:val="0000FF"/>
                  <w:sz w:val="20"/>
                  <w:u w:val="single"/>
                </w:rPr>
                <w:t>21</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43">
              <w:r>
                <w:rPr>
                  <w:rStyle w:val="InternetLink"/>
                  <w:rFonts w:ascii="Times New Roman;serif" w:hAnsi="Times New Roman;serif"/>
                  <w:b w:val="false"/>
                  <w:color w:val="0000FF"/>
                  <w:sz w:val="20"/>
                  <w:u w:val="single"/>
                </w:rPr>
                <w:t xml:space="preserve">Item 1C. </w:t>
              </w:r>
            </w:hyperlink>
          </w:p>
        </w:tc>
        <w:tc>
          <w:tcPr>
            <w:tcW w:w="76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96c0408ab14e7fa4f245eb629b36ec_43">
              <w:r>
                <w:rPr>
                  <w:rStyle w:val="InternetLink"/>
                  <w:rFonts w:ascii="Times New Roman;serif" w:hAnsi="Times New Roman;serif"/>
                  <w:b w:val="false"/>
                  <w:color w:val="0000FF"/>
                  <w:sz w:val="20"/>
                  <w:u w:val="singl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43">
              <w:r>
                <w:rPr>
                  <w:rStyle w:val="InternetLink"/>
                  <w:rFonts w:ascii="Times New Roman;serif" w:hAnsi="Times New Roman;serif"/>
                  <w:b w:val="false"/>
                  <w:color w:val="0000FF"/>
                  <w:sz w:val="20"/>
                  <w:u w:val="single"/>
                </w:rPr>
                <w:t>21</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46">
              <w:r>
                <w:rPr>
                  <w:rStyle w:val="InternetLink"/>
                  <w:rFonts w:ascii="Times New Roman;serif" w:hAnsi="Times New Roman;serif"/>
                  <w:b w:val="false"/>
                  <w:color w:val="0000FF"/>
                  <w:sz w:val="20"/>
                  <w:u w:val="single"/>
                </w:rPr>
                <w:t xml:space="preserve">Item 2.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46">
              <w:r>
                <w:rPr>
                  <w:rStyle w:val="InternetLink"/>
                  <w:rFonts w:ascii="Times New Roman;serif" w:hAnsi="Times New Roman;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46">
              <w:r>
                <w:rPr>
                  <w:rStyle w:val="InternetLink"/>
                  <w:rFonts w:ascii="Times New Roman;serif" w:hAnsi="Times New Roman;serif"/>
                  <w:b w:val="false"/>
                  <w:color w:val="0000FF"/>
                  <w:sz w:val="20"/>
                  <w:u w:val="single"/>
                </w:rPr>
                <w:t>22</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49">
              <w:r>
                <w:rPr>
                  <w:rStyle w:val="InternetLink"/>
                  <w:rFonts w:ascii="Times New Roman;serif" w:hAnsi="Times New Roman;serif"/>
                  <w:b w:val="false"/>
                  <w:color w:val="0000FF"/>
                  <w:sz w:val="20"/>
                  <w:u w:val="single"/>
                </w:rPr>
                <w:t xml:space="preserve">Item 3.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49">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49">
              <w:r>
                <w:rPr>
                  <w:rStyle w:val="InternetLink"/>
                  <w:rFonts w:ascii="Times New Roman;serif" w:hAnsi="Times New Roman;serif"/>
                  <w:b w:val="false"/>
                  <w:color w:val="0000FF"/>
                  <w:sz w:val="20"/>
                  <w:u w:val="single"/>
                </w:rPr>
                <w:t>22</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52">
              <w:r>
                <w:rPr>
                  <w:rStyle w:val="InternetLink"/>
                  <w:rFonts w:ascii="Times New Roman;serif" w:hAnsi="Times New Roman;serif"/>
                  <w:b w:val="false"/>
                  <w:color w:val="0000FF"/>
                  <w:sz w:val="20"/>
                  <w:u w:val="single"/>
                </w:rPr>
                <w:t xml:space="preserve">Item 4.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52">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52">
              <w:r>
                <w:rPr>
                  <w:rStyle w:val="InternetLink"/>
                  <w:rFonts w:ascii="Times New Roman;serif" w:hAnsi="Times New Roman;serif"/>
                  <w:b w:val="false"/>
                  <w:color w:val="0000FF"/>
                  <w:sz w:val="20"/>
                  <w:u w:val="single"/>
                </w:rPr>
                <w:t>22</w:t>
              </w:r>
            </w:hyperlink>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c96c0408ab14e7fa4f245eb629b36ec_55">
              <w:r>
                <w:rPr>
                  <w:rStyle w:val="InternetLink"/>
                  <w:rFonts w:ascii="Times New Roman;serif" w:hAnsi="Times New Roman;serif"/>
                  <w:b/>
                  <w:color w:val="0000FF"/>
                  <w:sz w:val="20"/>
                  <w:u w:val="single"/>
                </w:rPr>
                <w:t>PART II</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58">
              <w:r>
                <w:rPr>
                  <w:rStyle w:val="InternetLink"/>
                  <w:rFonts w:ascii="Times New Roman;serif" w:hAnsi="Times New Roman;serif"/>
                  <w:b w:val="false"/>
                  <w:color w:val="0000FF"/>
                  <w:sz w:val="20"/>
                  <w:u w:val="single"/>
                </w:rPr>
                <w:t xml:space="preserve">Item 5.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58">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58">
              <w:r>
                <w:rPr>
                  <w:rStyle w:val="InternetLink"/>
                  <w:rFonts w:ascii="Times New Roman;serif" w:hAnsi="Times New Roman;serif"/>
                  <w:b w:val="false"/>
                  <w:color w:val="0000FF"/>
                  <w:sz w:val="20"/>
                  <w:u w:val="single"/>
                </w:rPr>
                <w:t>23</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61">
              <w:r>
                <w:rPr>
                  <w:rStyle w:val="InternetLink"/>
                  <w:rFonts w:ascii="Times New Roman;serif" w:hAnsi="Times New Roman;serif"/>
                  <w:b w:val="false"/>
                  <w:color w:val="0000FF"/>
                  <w:sz w:val="20"/>
                  <w:u w:val="single"/>
                </w:rPr>
                <w:t xml:space="preserve">Item 7.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6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61">
              <w:r>
                <w:rPr>
                  <w:rStyle w:val="InternetLink"/>
                  <w:rFonts w:ascii="Times New Roman;serif" w:hAnsi="Times New Roman;serif"/>
                  <w:b w:val="false"/>
                  <w:color w:val="0000FF"/>
                  <w:sz w:val="20"/>
                  <w:u w:val="single"/>
                </w:rPr>
                <w:t>25</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0">
              <w:r>
                <w:rPr>
                  <w:rStyle w:val="InternetLink"/>
                  <w:rFonts w:ascii="Times New Roman;serif" w:hAnsi="Times New Roman;serif"/>
                  <w:b w:val="false"/>
                  <w:color w:val="0000FF"/>
                  <w:sz w:val="20"/>
                  <w:u w:val="single"/>
                </w:rPr>
                <w:t>Item 7A.</w:t>
              </w:r>
            </w:hyperlink>
            <w:r>
              <w:rPr>
                <w:color w:val="000000"/>
              </w:rPr>
              <w:t xml:space="preserve"> </w:t>
            </w:r>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0">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00">
              <w:r>
                <w:rPr>
                  <w:rStyle w:val="InternetLink"/>
                  <w:rFonts w:ascii="Times New Roman;serif" w:hAnsi="Times New Roman;serif"/>
                  <w:b w:val="false"/>
                  <w:color w:val="0000FF"/>
                  <w:sz w:val="20"/>
                  <w:u w:val="single"/>
                </w:rPr>
                <w:t>38</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3">
              <w:r>
                <w:rPr>
                  <w:rStyle w:val="InternetLink"/>
                  <w:rFonts w:ascii="Times New Roman;serif" w:hAnsi="Times New Roman;serif"/>
                  <w:b w:val="false"/>
                  <w:color w:val="0000FF"/>
                  <w:sz w:val="20"/>
                  <w:u w:val="single"/>
                </w:rPr>
                <w:t xml:space="preserve">Item 8.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3">
              <w:r>
                <w:rPr>
                  <w:rStyle w:val="InternetLink"/>
                  <w:rFonts w:ascii="Times New Roman;serif" w:hAnsi="Times New Roman;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03">
              <w:r>
                <w:rPr>
                  <w:rStyle w:val="InternetLink"/>
                  <w:rFonts w:ascii="Times New Roman;serif" w:hAnsi="Times New Roman;serif"/>
                  <w:b w:val="false"/>
                  <w:color w:val="0000FF"/>
                  <w:sz w:val="20"/>
                  <w:u w:val="single"/>
                </w:rPr>
                <w:t>39</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87">
              <w:r>
                <w:rPr>
                  <w:rStyle w:val="InternetLink"/>
                  <w:rFonts w:ascii="Times New Roman;serif" w:hAnsi="Times New Roman;serif"/>
                  <w:b w:val="false"/>
                  <w:color w:val="0000FF"/>
                  <w:sz w:val="20"/>
                  <w:u w:val="single"/>
                </w:rPr>
                <w:t xml:space="preserve">Item 9.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8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87">
              <w:r>
                <w:rPr>
                  <w:rStyle w:val="InternetLink"/>
                  <w:rFonts w:ascii="Times New Roman;serif" w:hAnsi="Times New Roman;serif"/>
                  <w:b w:val="false"/>
                  <w:color w:val="0000FF"/>
                  <w:sz w:val="20"/>
                  <w:u w:val="single"/>
                </w:rPr>
                <w:t>69</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90">
              <w:r>
                <w:rPr>
                  <w:rStyle w:val="InternetLink"/>
                  <w:rFonts w:ascii="Times New Roman;serif" w:hAnsi="Times New Roman;serif"/>
                  <w:b w:val="false"/>
                  <w:color w:val="0000FF"/>
                  <w:sz w:val="20"/>
                  <w:u w:val="single"/>
                </w:rPr>
                <w:t>Item 9A.</w:t>
              </w:r>
            </w:hyperlink>
            <w:r>
              <w:rPr>
                <w:color w:val="000000"/>
              </w:rPr>
              <w:t xml:space="preserve"> </w:t>
            </w:r>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90">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90">
              <w:r>
                <w:rPr>
                  <w:rStyle w:val="InternetLink"/>
                  <w:rFonts w:ascii="Times New Roman;serif" w:hAnsi="Times New Roman;serif"/>
                  <w:b w:val="false"/>
                  <w:color w:val="0000FF"/>
                  <w:sz w:val="20"/>
                  <w:u w:val="single"/>
                </w:rPr>
                <w:t>69</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93">
              <w:r>
                <w:rPr>
                  <w:rStyle w:val="InternetLink"/>
                  <w:rFonts w:ascii="Times New Roman;serif" w:hAnsi="Times New Roman;serif"/>
                  <w:b w:val="false"/>
                  <w:color w:val="0000FF"/>
                  <w:sz w:val="20"/>
                  <w:u w:val="single"/>
                </w:rPr>
                <w:t xml:space="preserve">Item 9B.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93">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93">
              <w:r>
                <w:rPr>
                  <w:rStyle w:val="InternetLink"/>
                  <w:rFonts w:ascii="Times New Roman;serif" w:hAnsi="Times New Roman;serif"/>
                  <w:b w:val="false"/>
                  <w:color w:val="0000FF"/>
                  <w:sz w:val="20"/>
                  <w:u w:val="single"/>
                </w:rPr>
                <w:t>69</w:t>
              </w:r>
            </w:hyperlink>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c96c0408ab14e7fa4f245eb629b36ec_196">
              <w:r>
                <w:rPr>
                  <w:rStyle w:val="InternetLink"/>
                  <w:rFonts w:ascii="Times New Roman;serif" w:hAnsi="Times New Roman;serif"/>
                  <w:b/>
                  <w:color w:val="0000FF"/>
                  <w:sz w:val="20"/>
                  <w:u w:val="single"/>
                </w:rPr>
                <w:t>PART III</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199">
              <w:r>
                <w:rPr>
                  <w:rStyle w:val="InternetLink"/>
                  <w:rFonts w:ascii="Times New Roman;serif" w:hAnsi="Times New Roman;serif"/>
                  <w:b w:val="false"/>
                  <w:color w:val="0000FF"/>
                  <w:sz w:val="20"/>
                  <w:u w:val="single"/>
                </w:rPr>
                <w:t xml:space="preserve">Item 10.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199">
              <w:r>
                <w:rPr>
                  <w:rStyle w:val="InternetLink"/>
                  <w:rFonts w:ascii="Times New Roman;serif" w:hAnsi="Times New Roman;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199">
              <w:r>
                <w:rPr>
                  <w:rStyle w:val="InternetLink"/>
                  <w:rFonts w:ascii="Times New Roman;serif" w:hAnsi="Times New Roman;serif"/>
                  <w:b w:val="false"/>
                  <w:color w:val="0000FF"/>
                  <w:sz w:val="20"/>
                  <w:u w:val="single"/>
                </w:rPr>
                <w:t>70</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02">
              <w:r>
                <w:rPr>
                  <w:rStyle w:val="InternetLink"/>
                  <w:rFonts w:ascii="Times New Roman;serif" w:hAnsi="Times New Roman;serif"/>
                  <w:b w:val="false"/>
                  <w:color w:val="0000FF"/>
                  <w:sz w:val="20"/>
                  <w:u w:val="single"/>
                </w:rPr>
                <w:t xml:space="preserve">Item 11.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202">
              <w:r>
                <w:rPr>
                  <w:rStyle w:val="InternetLink"/>
                  <w:rFonts w:ascii="Times New Roman;serif" w:hAnsi="Times New Roman;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202">
              <w:r>
                <w:rPr>
                  <w:rStyle w:val="InternetLink"/>
                  <w:rFonts w:ascii="Times New Roman;serif" w:hAnsi="Times New Roman;serif"/>
                  <w:b w:val="false"/>
                  <w:color w:val="0000FF"/>
                  <w:sz w:val="20"/>
                  <w:u w:val="single"/>
                </w:rPr>
                <w:t>70</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05">
              <w:r>
                <w:rPr>
                  <w:rStyle w:val="InternetLink"/>
                  <w:rFonts w:ascii="Times New Roman;serif" w:hAnsi="Times New Roman;serif"/>
                  <w:b w:val="false"/>
                  <w:color w:val="0000FF"/>
                  <w:sz w:val="20"/>
                  <w:u w:val="single"/>
                </w:rPr>
                <w:t xml:space="preserve">Item 12. </w:t>
              </w:r>
            </w:hyperlink>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20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205">
              <w:r>
                <w:rPr>
                  <w:rStyle w:val="InternetLink"/>
                  <w:rFonts w:ascii="Times New Roman;serif" w:hAnsi="Times New Roman;serif"/>
                  <w:b w:val="false"/>
                  <w:color w:val="0000FF"/>
                  <w:sz w:val="20"/>
                  <w:u w:val="single"/>
                </w:rPr>
                <w:t>70</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08">
              <w:r>
                <w:rPr>
                  <w:rStyle w:val="InternetLink"/>
                  <w:rFonts w:ascii="Times New Roman;serif" w:hAnsi="Times New Roman;serif"/>
                  <w:b w:val="false"/>
                  <w:color w:val="0000FF"/>
                  <w:sz w:val="20"/>
                  <w:u w:val="single"/>
                </w:rPr>
                <w:t>Item 13.</w:t>
              </w:r>
            </w:hyperlink>
            <w:r>
              <w:rPr>
                <w:color w:val="000000"/>
              </w:rPr>
              <w:t xml:space="preserve"> </w:t>
            </w:r>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208">
              <w:r>
                <w:rPr>
                  <w:rStyle w:val="InternetLink"/>
                  <w:rFonts w:ascii="Times New Roman;serif" w:hAnsi="Times New Roman;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208">
              <w:r>
                <w:rPr>
                  <w:rStyle w:val="InternetLink"/>
                  <w:rFonts w:ascii="Times New Roman;serif" w:hAnsi="Times New Roman;serif"/>
                  <w:b w:val="false"/>
                  <w:color w:val="0000FF"/>
                  <w:sz w:val="20"/>
                  <w:u w:val="single"/>
                </w:rPr>
                <w:t>70</w:t>
              </w:r>
            </w:hyperlink>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11">
              <w:r>
                <w:rPr>
                  <w:rStyle w:val="InternetLink"/>
                  <w:rFonts w:ascii="Times New Roman;serif" w:hAnsi="Times New Roman;serif"/>
                  <w:b w:val="false"/>
                  <w:color w:val="0000FF"/>
                  <w:sz w:val="20"/>
                  <w:u w:val="single"/>
                </w:rPr>
                <w:t>Item 14.</w:t>
              </w:r>
            </w:hyperlink>
            <w:r>
              <w:rPr>
                <w:color w:val="000000"/>
              </w:rPr>
              <w:t xml:space="preserve"> </w:t>
            </w:r>
          </w:p>
        </w:tc>
        <w:tc>
          <w:tcPr>
            <w:tcW w:w="7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11">
              <w:r>
                <w:rPr>
                  <w:rStyle w:val="InternetLink"/>
                  <w:rFonts w:ascii="Times New Roman;serif" w:hAnsi="Times New Roman;serif"/>
                  <w:b w:val="false"/>
                  <w:color w:val="0000FF"/>
                  <w:sz w:val="20"/>
                  <w:u w:val="single"/>
                </w:rPr>
                <w:t>PRINCIPAL ACCOUNTANT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211">
              <w:r>
                <w:rPr>
                  <w:rStyle w:val="InternetLink"/>
                  <w:rFonts w:ascii="Times New Roman;serif" w:hAnsi="Times New Roman;serif"/>
                  <w:b w:val="false"/>
                  <w:color w:val="0000FF"/>
                  <w:sz w:val="20"/>
                  <w:u w:val="single"/>
                </w:rPr>
                <w:t>70</w:t>
              </w:r>
            </w:hyperlink>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c96c0408ab14e7fa4f245eb629b36ec_214">
              <w:r>
                <w:rPr>
                  <w:rStyle w:val="InternetLink"/>
                  <w:rFonts w:ascii="Times New Roman;serif" w:hAnsi="Times New Roman;serif"/>
                  <w:b/>
                  <w:color w:val="0000FF"/>
                  <w:sz w:val="20"/>
                  <w:u w:val="single"/>
                </w:rPr>
                <w:t>PART IV</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17">
              <w:r>
                <w:rPr>
                  <w:rStyle w:val="InternetLink"/>
                  <w:rFonts w:ascii="Times New Roman;serif" w:hAnsi="Times New Roman;serif"/>
                  <w:b w:val="false"/>
                  <w:color w:val="0000FF"/>
                  <w:sz w:val="20"/>
                  <w:u w:val="single"/>
                </w:rPr>
                <w:t>Item 15.</w:t>
              </w:r>
            </w:hyperlink>
            <w:r>
              <w:rPr>
                <w:color w:val="000000"/>
              </w:rPr>
              <w:t xml:space="preserve"> </w:t>
            </w:r>
          </w:p>
        </w:tc>
        <w:tc>
          <w:tcPr>
            <w:tcW w:w="76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17">
              <w:r>
                <w:rPr>
                  <w:rStyle w:val="InternetLink"/>
                  <w:rFonts w:ascii="Times New Roman;serif" w:hAnsi="Times New Roman;serif"/>
                  <w:b w:val="false"/>
                  <w:color w:val="0000FF"/>
                  <w:sz w:val="20"/>
                  <w:u w:val="single"/>
                </w:rPr>
                <w:t>EXHIBITS,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217">
              <w:r>
                <w:rPr>
                  <w:rStyle w:val="InternetLink"/>
                  <w:rFonts w:ascii="Times New Roman;serif" w:hAnsi="Times New Roman;serif"/>
                  <w:b w:val="false"/>
                  <w:color w:val="0000FF"/>
                  <w:sz w:val="20"/>
                  <w:u w:val="single"/>
                </w:rPr>
                <w:t>71</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c96c0408ab14e7fa4f245eb629b36ec_220">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6c0408ab14e7fa4f245eb629b36ec_220">
              <w:r>
                <w:rPr>
                  <w:rStyle w:val="InternetLink"/>
                  <w:rFonts w:ascii="Times New Roman;serif" w:hAnsi="Times New Roman;serif"/>
                  <w:b w:val="false"/>
                  <w:color w:val="0000FF"/>
                  <w:sz w:val="20"/>
                  <w:u w:val="single"/>
                </w:rPr>
                <w:t>74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Annual Report on Form 10-K, the words “IES”, the “Company”, the “Registrant”, “we”, “our”, “ours” and “us” refer to IES Holdings, Inc. and, except as otherwise specified herein, to our subsidiaries.</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bidi w:val="0"/>
        <w:spacing w:before="0" w:after="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 general reduction in the demand for our products or services;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changes in general economic conditions, including supply chain constraints, high rates of inflation, changes in consumer sentiment, elevated interest rates, and market disruptions resulting from a number of factors, including geo-political events such as the Ukraine-Russia war, the conflict in the Middle East, and trade tensions between the U.S. and China;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the use of estimates in placing bids on fixed price contracts, variations from estimated contract costs, 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our ability to enter into, and the terms of, future contracts;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small number of customers from whom we derive a meaningful portion of our revenues;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third parties, including subcontractors and suppliers, to complete our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challenges integrating new businesses into the Company or new types of work, products or processes into our segments;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backlog that may not be realized or may not result in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failure to adequately recover on contract change orders or claims against customers;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closures or sales of our facilities resulting in significant future charges, including potential warranty losses or other unexpected liabilities, or a significant disruption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an increased cost of surety bonds affecting margins on work and the potential for our surety providers to refuse bonding or require additional collateral at their discretion;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seasonality, adverse weather conditions, and climate change;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fluctuations in operating activity due to factors such as cyclicality, downturns in levels of construction or the housing market, and differing regional economic conditions;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difficulties in managing our billings and collections;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accidents resulting from the physical hazards associated with our work and the potential for accidents;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current insurance coverage may not be adequate or that we may not be able to obtain policies at acceptable rates;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effect of litigation, claims and contingencies, including warranty losses, damages or other latent defect claims in excess of our existing reserves and accruals;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interruptions to our information systems and cyber security or data breaches;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expenditures to conduct environmental remediation activities required by certain environmental laws and regulations;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loss of key personnel, ineffective transition of new management, or general labor constraints;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limitations on our ability to access capital markets and generate cash from operations to fund our working capital needs and capital expenditures, to complete acquisitions, and for debt service;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on our effective tax rate or cash paid for taxes from changes in tax positions we have taken or changes in tax laws;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difficulty in fulfilling the covenant terms of our revolving credit facility, including liquidity, and other financial requirements, which could result in a default and acceleration of any indebtedness under such revolving credit facility;</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certain estimates and assumptions that may differ from actual results in the preparation of our financial statements and the impacts of new accounting, control and operating procedures resulting from new accounting pronouncements;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uncertainties inherent in the use of percentage-of-completion accounting, which could result in the reduction or elimination of previously recorded revenues and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recognition of potential goodwill, long-lived assets and other investment impairments;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potential for substantial sales of our common stock, which could adversely affect our stock price;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increasing scrutiny and changing expectations from investors and customers, or new or changing regulations, with respect to risks related to climate change or environmental impacts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cost or effort required for our shareholders to bring certain claims or actions against us, as a result of our designation of the Court of Chancery of the State of Delaware as the sole and exclusive forum for certain types of actions and proceedings; and</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internal controls over financial reporting and our disclosure controls and procedures may not prevent all possible errors that could occur.</w:t>
      </w:r>
    </w:p>
    <w:p>
      <w:pPr>
        <w:pStyle w:val="TextBody"/>
        <w:bidi w:val="0"/>
        <w:spacing w:before="0" w:after="0"/>
        <w:ind w:left="0" w:right="0" w:hanging="180"/>
        <w:jc w:val="left"/>
        <w:rPr/>
      </w:pPr>
      <w:r>
        <w:rPr/>
      </w:r>
    </w:p>
    <w:p>
      <w:pPr>
        <w:pStyle w:val="TextBody"/>
        <w:bidi w:val="0"/>
        <w:spacing w:lineRule="auto" w:line="288" w:before="0" w:after="0"/>
        <w:jc w:val="left"/>
        <w:rPr/>
      </w:pPr>
      <w:r>
        <w:rPr>
          <w:rFonts w:ascii="Times New Roman;serif" w:hAnsi="Times New Roman;serif"/>
          <w:b w:val="false"/>
          <w:color w:val="000000"/>
          <w:sz w:val="20"/>
        </w:rPr>
        <w:t>You should understand that the foregoing, as well as other risk factors discussed in this document, including those listed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color w:val="000000"/>
          <w:sz w:val="20"/>
        </w:rPr>
        <w:t xml:space="preserve">Item 1. </w:t>
      </w:r>
      <w:r>
        <w:rPr>
          <w:rFonts w:ascii="Times New Roman;serif" w:hAnsi="Times New Roman;serif"/>
          <w:b/>
          <w:i/>
          <w:color w:val="000000"/>
          <w:sz w:val="20"/>
        </w:rPr>
        <w:t xml:space="preserve">Business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Communications</w:t>
      </w:r>
      <w:r>
        <w:rPr>
          <w:color w:val="000000"/>
        </w:rPr>
        <w:t xml:space="preserve"> – </w:t>
      </w:r>
      <w:r>
        <w:rPr>
          <w:rFonts w:ascii="Times New Roman;serif" w:hAnsi="Times New Roman;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Residential</w:t>
      </w:r>
      <w:r>
        <w:rPr>
          <w:color w:val="000000"/>
        </w:rPr>
        <w:t xml:space="preserve"> – </w:t>
      </w:r>
      <w:r>
        <w:rPr>
          <w:rFonts w:ascii="Times New Roman;serif" w:hAnsi="Times New Roman;serif"/>
          <w:b w:val="false"/>
          <w:color w:val="000000"/>
          <w:sz w:val="20"/>
        </w:rPr>
        <w:t>Regional provider of electrical installation services for single-family housing and multi-family apartment complexes, as well as heating, ventilation and air conditioning (HVAC) and plumbing installation services in certain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Infrastructure Solutions</w:t>
      </w:r>
      <w:r>
        <w:rPr>
          <w:color w:val="000000"/>
        </w:rPr>
        <w:t xml:space="preserve"> – </w:t>
      </w:r>
      <w:r>
        <w:rPr>
          <w:rFonts w:ascii="Times New Roman;serif" w:hAnsi="Times New Roman;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Commercial &amp; Industrial</w:t>
      </w:r>
      <w:r>
        <w:rPr>
          <w:color w:val="000000"/>
        </w:rPr>
        <w:t xml:space="preserve"> – </w:t>
      </w:r>
      <w:r>
        <w:rPr>
          <w:rFonts w:ascii="Times New Roman;serif" w:hAnsi="Times New Roman;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IES Holdings, Inc. is a Delaware corporation established in 1997 and headquartered in Sugar Land, Texas, with an executive office in Greenwich, Connecticut.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CORPORATE STRATEGY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create shareholder value by growing our business through increasing our market share, geographic and market expansion and adding to our capabilities, as well as improving operating margins and generating free cash flow, by investing in our existing businesses and completing acquisitions. We primarily seek to acquire businesses that strategically complement our existing business segments. In addition, we may seek to acquire or invest in stand-alone platform companies based in North America. In evaluating potential acquisition candidates, we seek to invest in businesses with, among other characteristics: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proven management with a willingness to continue post-acquisition;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low technological and/or product obsolescence risk;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market position and sustainable competitive advantages;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strong cash flow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acquisitions provide an opportunity to expand into new or related services, products, end markets or geographic areas and diversify our revenue and profit streams. While we may use acquisitions to build our presence in the industries we serve, we will also consider potential acquisitions in other industries, which could result in changes in our operations from those historically conducted by us.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SEGMENTS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 (percentage columns may not add due to rounding):</w:t>
      </w:r>
    </w:p>
    <w:tbl>
      <w:tblPr>
        <w:tblW w:w="10205" w:type="dxa"/>
        <w:jc w:val="left"/>
        <w:tblInd w:w="0" w:type="dxa"/>
        <w:tblLayout w:type="fixed"/>
        <w:tblCellMar>
          <w:top w:w="28" w:type="dxa"/>
          <w:left w:w="28" w:type="dxa"/>
          <w:bottom w:w="28" w:type="dxa"/>
          <w:right w:w="28" w:type="dxa"/>
        </w:tblCellMar>
      </w:tblPr>
      <w:tblGrid>
        <w:gridCol w:w="597"/>
        <w:gridCol w:w="525"/>
        <w:gridCol w:w="526"/>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7"/>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financial information by segment, see Note 11, “Operating Segments” in the notes to our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Communications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Originally established in 1984, our Communications segment is a leading provider of network infrastructure solutions for data centers and other mission critical environments. Our services include the design, installation and maintenance of network infrastructure for leading and recognizable global technology, social networking and e-commerce brands, including many Fortune 100 and 500 corporations. We serve a variety of industries and end 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41 offices, which includes the segment headquarters located in Tempe, Arizona, and also provide dedicated onsite teams at our customers’ sites.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Industry Overview</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Communications segment is driven by demand for computing and storage resources as a result of technology advancements and obsolescence and changes in data consumption patterns. Demand in the data center market remains strong, and we continue to provide technology infrastructure services for applications such as data centers, distribution centers, and high-tech manufacturing facilities. As technology evolves, we are focused on expanding our capabilities as an integrator of audio-visual, distributed antenna systems and other building technology offerings, which continue to experience strong demand. At September 30, 2025, our Communications business has a record level of backlog. However, if customers in our end markets reduce their capital budgets due to economic, technological or other factors, this could result in a decrease in activity for our Communications segment. While demand remains strong across our key end markets, the pace of growth in this business may also be slowed by the availability of labor.</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0"/>
        <w:jc w:val="left"/>
        <w:rPr/>
      </w:pPr>
      <w:r>
        <w:rPr>
          <w:rFonts w:ascii="Times New Roman;serif" w:hAnsi="Times New Roman;serif"/>
          <w:b w:val="false"/>
          <w:color w:val="000000"/>
          <w:sz w:val="20"/>
        </w:rPr>
        <w:t xml:space="preserve">Our competition consists of both large national or regional competitors and small, privately owned contractors who generally have limited access to capital. </w:t>
      </w:r>
      <w:r>
        <w:rPr>
          <w:rFonts w:ascii="Times New Roman;serif" w:hAnsi="Times New Roman;serif"/>
          <w:b w:val="false"/>
          <w:color w:val="000000"/>
          <w:sz w:val="20"/>
          <w:shd w:fill="FFFFFF" w:val="clear"/>
        </w:rPr>
        <w:t>We compete on quality of service and/or price and seek to emphasize our financial capabilities and long history of delivering high quality solutions to our customers.</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Residential</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Originally established in 1973, our Residential segment is a leading provider of electrical installation services for single-family housing and multi-family apartment complexes, as well as HVAC and plumbing installation services in certain markets, and cable television installations for residential and light commercial applications. The Residential segment is made up of 99 total locations, which include the segment headquarters in Sugar Land, Texas. These locations geographically cover the Sun-Belt, Western, Mid-Atlantic, Midwest and Northeastern regions of the United States.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Industry Overview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Residential business is closely correlated to the single and multi-family housing market. Demand for both single-family and multi-family housing has decreased over the last fiscal year, as consumers continued to face housing affordability challenges as a result of elevated mortgage rates and the impacts of inflation on materials and labor costs. In addition, expectations of falling interest rates in the near term could cause consumers to delay home purchases in anticipation of lower mortgage costs. Over the longer term, we still expect strong demand for new single-family housing. However, the timing of any improvement in the single-family housing market remains uncertain. In our multi-family business, prolonged elevated interest rates and tighter lending conditions for project owners have resulted in a reduction in backlog at September 30, 2025 compared with September 30, 2024. As a result, we expect a reduction in multi-family revenue for fiscal 2026 compared with fiscal 2025.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Demand for our Residential services is highly dependent on the number of single-family and multi-family home starts in the markets we serve. Although we operate in multiple states, the majority of our single-family revenues are derived from services provided in Texas and Florida. The majority of our multi-family revenue is earned in Texas and across the Midwest, Mid-Atlantic and Southeast regions. Our sales efforts include a variety of strategies, including a concentrated focus on national and regional homebuilders and multi-family developers and a local sales strategy for single and multi-family housing projects. A significant portion of our Residential business volume is generated from long-term, repeat customers, some of whom use IES as a preferred provider for major projects.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long-term strategy is to continue to be a leading provider of electrical services to the residential market, and to continue to expand our offerings of plumbing and HVAC services into markets where we previously offered only electrical services, while also expanding all service offerings into new geographic markets. The key elements of our long-term strategy include a continued focus on maintaining a low and variable cost structure and cash generation, allowing us to effectively scale according to the housing cycle, and to opportunistically increase our market share.</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competition primarily consists of small, privately owned contractors who generally have limited access to capital. We believe that we have a competitive advantage over these smaller competitors due to our key employees’ long-standing customer relationships, our financial capabilities, our employee training program, and our local market knowledge and competitive pricing. There are few barriers to entry for electrical contracting services in the residential markets.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of operations from our Residential segment can be seasonal, depending on weather trends, with typically higher revenues generated during spring and summer and lower revenues during fall and winter.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Infrastructure Solutions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Infrastructure Solutions segment provides electro-mechanical solutions for industrial operations to domestic and international customers. Our Custom Engineered Solutions business includes the manufacture of custom commercial and industrial generator enclosures, the manufacture of custom-engineered power distribution equipment, including metal enclosed bus duct solutions used in power distribution, and structural steel fabrication and services. Our Industrial Services business includes the maintenance and repair of alternating current (AC) and direct current (DC) electric motors and generators, as well as power generating and distribution equipment; the manufacture, re-manufacture, and repair of industrial lifting magnets; the manufacture of natural gas-powered engines and parts, gas compressors, and other gas production equipment; and maintenance and repair of railroad main and auxiliary generators, main alternators, and traction motors.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segment serves the data center, utility, oilfield, petrochemical, pipeline, power generation, pulp and paper, steel, railroad, marine, wind energy, mining, automotive, and scrap yards industries. Our Infrastructure Solutions segment is comprised of 15 locations in Alabama, Georgia, Illinois, Indiana, Ohio, Oklahoma, Pennsylvania, South Carolina, West Virginia, and Wisconsin, and is headquartered in Massillon, Ohio.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Industry Overview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the need for electrical or pipeline infrastructure improvements and the overall health of the economy.</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sales efforts are primarily driven by personnel based at our operating locations, as well as independent sales representatives. Our custom-engineered power distribution, bus system and generator enclosure products and services are principally sold in partnership with an original equipment manufacturer (“OEM”) or to an engineering, procurement and construction firm on behalf of the end-user. Regarding our apparatus repair services, the majority of our customers are located within a 200-mile radius of our facilities, and we believe that the locations of our facilities allow us to rapidly address and respond to the needs of our customers. Our long-term strategy is to be a leader in custom-engineered metal enclosed bus systems and generator enclosures and the preferred solutions provider of outsourced electro-mechanical services, repairs, and manufacturing to our select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competition ranges from small, single location service centers to large, multi-national companies. Our Custom Engineered Solutions business competes with domestic and international manufacturers and distributors. We believe that we have a competitive advantage due to our specific product offerings, geographic proximity to customer sites, and our ability to design high quality products to meet each customer's unique requirements. Our Industrial Services business competes with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 </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Infrastructure Solutions’ revenues from its custom-engineered bus systems and generator enclosures are affected by the timing of customers' capital spending projects.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Commercial &amp; Industrial</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&amp; Industrial segment provides electrical and mechanical design, service, and construction services to commercial and industrial markets. Our construction services range from the initial planning and procurement to installation and start-up and are offered to a variety of new and remodel construction projects, ranging from the construction of data centers, industrial facilities and office buildings to transmission and distribution projects. Our design services range from budget assistance to providing design-build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LEED (Leadership in Energy &amp; Environmental Design) solutions to our end customers. Our maintenance and emergency services include critical plant shutdown, troubleshooting, emergency testing, preventative maintenance, and constant presence. We also provide mechanical services such as maintenance agreements, installation, or replacement of mechanical equipment for commercial and industrial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segment provides services for a variety of project types, including data centers, manufacturing facilities, office buildings, wind farms, solar facilities, municipal infrastructure and health care facilities. The Commercial &amp; Industrial segment consists of 17 locations, which includes the segment headquarters in Houston, Texas. Geographically, these locations cover Texas, Nebraska, Oregon, Wisconsin, and the Southeast and Mid-Atlantic regions.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Industry Overview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diverse end markets of our Commercial &amp; Industrial customers, which include both commercial buildings, such as data centers, offices, healthcare facilities and schools, and industrial projects, such as power, agricultural and food processing, and heavy manufacturing facilities, we are subject to many trends within the construction industry. In general, demand for our Commercial &amp; Industrial services is driven by construction and renovation activity levels, economic growth, and availability of bank or other financing. Due to economic, technological or other factors, there can be no assurance that construction and demand will increase.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is awarded from long-term, repeat customers. From time to time, we are contracted on projects with completion times extending beyond one year or over several years, which are generally more complex and difficult to estimate.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electrical and mechanical contracting services industry is generally highly competitive and includes a number of regional or small privately-held local firms. Traditionally, competitors in certain parts of this market have faced few barriers to entry. Therefore, we seek to pursue projects where our access to capital and expertise provide a competitive advantage.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Industry expertise, project size, location and past performance determine our bidding strategy, the level of involvement from competitors and our level of success in bidding for new work.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SOURCES OF SUPPLY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raw materials and components we use within our segments include, but are not limited to, electrical fixtures and system components, copper, aluminum, raw steel, and certain plastics. These raw materials and components are generally available from a variety of domestic suppliers at competitive prices. Delivery times are typically short for most raw materials and standard components, but during periods of peak demand, may extend to one month or more. Orders for certain equipment such as electrical switch gear and power generators have experienced lead times of several months or more. Fluctuations in lead times in sourcing certain components may lead to project inefficiencies resulting from schedule extensions. We are also exposed to increases in the prices of certain commodities. Our strategy to reduce commodity cost exposure includes early buying of commodities for particular projects or general inventory, as well as including escalation and escape provisions in project bids, quotes and contracts wherever possible. However, such protections are not included in every contract or project, and in such cases, we may not be fully reimbursed for increases in commodity prices by our customers and may be exposed to commodity price volatility on longer-term projects where we have prepaid for commodities.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MANAGEMENT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have a robust safety program, and seek to maintain standardized safety and environmental policies and procedures.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w:t>
      </w:r>
    </w:p>
    <w:p>
      <w:pPr>
        <w:pStyle w:val="TextBody"/>
        <w:bidi w:val="0"/>
        <w:spacing w:lineRule="auto" w:line="288" w:before="0" w:after="0"/>
        <w:jc w:val="left"/>
        <w:rPr/>
      </w:pPr>
      <w:r>
        <w:rPr>
          <w:rFonts w:ascii="Times New Roman;serif" w:hAnsi="Times New Roman;serif"/>
          <w:b w:val="false"/>
          <w:color w:val="000000"/>
          <w:sz w:val="20"/>
        </w:rPr>
        <w:t>For a further discussion of our risks, please refer to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have a diverse customer base. During the year ended September 30, 2025, no single customer accounted for more than 10% of our consolidated revenues. One customer at our Residential segment accounted for 12.0% of our consolidated revenues and no other customer accounted for more than 10% of our consolidated revenues during the years ended September 30, 2024 and 2023. We emphasize developing and maintaining relationships with our customers by providing superior, high-quality service.</w:t>
      </w:r>
      <w:r>
        <w:rPr>
          <w:color w:val="000000"/>
        </w:rPr>
        <w:t xml:space="preserve"> </w:t>
      </w:r>
      <w:r>
        <w:rPr>
          <w:rFonts w:ascii="Times New Roman;serif" w:hAnsi="Times New Roman;serif"/>
          <w:b w:val="false"/>
          <w:color w:val="000000"/>
          <w:sz w:val="20"/>
        </w:rPr>
        <w:t xml:space="preserve">Management at each of our segments is responsible for determining sales strategies and sales activities.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CONTROLLING SHAREHOLDER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majority of our outstanding common stock is owned by Tontine Associates, L.L.C. ("Tontine Associates") and its affiliates (collectively, “Tontine”). Tontine owns approximately 54 percent of our outstanding common stock based on a Form 4 and a Schedule 13D/A filed by Tontine with the United States Securities and Exchange Commission (the "SEC") on September 17, 2025, and the Company's shares outstanding as of November 17, 2025. As a result, Tontine can control most of our affairs, including most actions requiring the approval of shareholders, such as the approval of any potential merger or sale of all or substantially all of the Company's assets or business segments, or the Company itself. Most of Tontine’s shares are registered for resale on a resale shelf registration statement filed by the Company with the SEC. Tontine’s sale of all or a significant portion of its shares could result in a change of control of the Company, which would trigger the change of control provisions in a number of our material agreements, including our credit agreement, bonding agreements with our sureties and our executive severance plan. For more information, see Note 3, “Controlling Shareholder” in the notes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PERFORMANCE OBLIGATIONS AND BACKLOG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 commitments. While backlog is not a defined term under accounting principles generally accepted in the United States of America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In our Communications segment, we have a significant amount of shorter duration projects that can be substantially completed within a quarter. The table below summarizes our remaining performance obligations and backlog by segment:</w:t>
      </w:r>
    </w:p>
    <w:tbl>
      <w:tblPr>
        <w:tblW w:w="10205" w:type="dxa"/>
        <w:jc w:val="center"/>
        <w:tblInd w:w="0" w:type="dxa"/>
        <w:tblLayout w:type="fixed"/>
        <w:tblCellMar>
          <w:top w:w="28" w:type="dxa"/>
          <w:left w:w="28" w:type="dxa"/>
          <w:bottom w:w="28" w:type="dxa"/>
          <w:right w:w="28" w:type="dxa"/>
        </w:tblCellMar>
      </w:tblPr>
      <w:tblGrid>
        <w:gridCol w:w="567"/>
        <w:gridCol w:w="499"/>
        <w:gridCol w:w="500"/>
        <w:gridCol w:w="235"/>
        <w:gridCol w:w="1087"/>
        <w:gridCol w:w="121"/>
        <w:gridCol w:w="256"/>
        <w:gridCol w:w="1003"/>
        <w:gridCol w:w="132"/>
        <w:gridCol w:w="211"/>
        <w:gridCol w:w="976"/>
        <w:gridCol w:w="109"/>
        <w:gridCol w:w="109"/>
        <w:gridCol w:w="109"/>
        <w:gridCol w:w="109"/>
        <w:gridCol w:w="235"/>
        <w:gridCol w:w="1087"/>
        <w:gridCol w:w="121"/>
        <w:gridCol w:w="256"/>
        <w:gridCol w:w="1003"/>
        <w:gridCol w:w="132"/>
        <w:gridCol w:w="211"/>
        <w:gridCol w:w="976"/>
        <w:gridCol w:w="161"/>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Remaining Performance Obligations</w:t>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Agreements without an enforceable obligation </w:t>
            </w:r>
            <w:r>
              <w:rPr>
                <w:rFonts w:ascii="Times New Roman;serif" w:hAnsi="Times New Roman;serif"/>
                <w:b w:val="false"/>
                <w:color w:val="000000"/>
                <w:sz w:val="13"/>
              </w:rPr>
              <w:t>(1)</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Remaining Performance Obligations</w:t>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Agreements without an enforceable obligation </w:t>
            </w:r>
            <w:r>
              <w:rPr>
                <w:rFonts w:ascii="Times New Roman;serif" w:hAnsi="Times New Roman;serif"/>
                <w:b w:val="false"/>
                <w:color w:val="000000"/>
                <w:sz w:val="13"/>
              </w:rPr>
              <w:t>(1)</w:t>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Backlog</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millions)</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1,686,583 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687,207 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610,459 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Our backlog includes signed agreements and letters of intent that we do not have a legal right to enforce prior to beginning work. These agreements are excluded from remaining performance obligations until work begins.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$1.4 billion of our September 30, 2025 backlog will result in revenue during fiscal 2026, with the remaining $1.0 billion expected to be realized in fiscal 2027; however, there can be no assurance that this backlog will be completed within expected time frames or at all. The increase in our backlog year over year was primarily driven by strong demand and increased market share.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various federal, state and local laws and regulations,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licensing requirements applicable to electricians, plumbers, and mechanical service technicians;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building and electrical codes;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regulations relating to worker safety, labor relations and protection of the environment;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regulations relating to consumer protection, including those governing residential service agreements;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qualifications of our business legal structure in the jurisdictions where we do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state and local regulations governing electricians and mechanical services require permits and licenses to be held by individuals engaged in such services.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we have all licenses required to conduct our operations and are in material compliance with applicable regulatory requirements. Failure to comply with applicable regulations could result in substantial fines or revocation of our operating licenses or an inability to perform government work.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 FACILITIES</w:t>
      </w:r>
    </w:p>
    <w:p>
      <w:pPr>
        <w:pStyle w:val="TextBody"/>
        <w:bidi w:val="0"/>
        <w:spacing w:lineRule="auto" w:line="288" w:before="0" w:after="0"/>
        <w:jc w:val="left"/>
        <w:rPr/>
      </w:pPr>
      <w:r>
        <w:rPr>
          <w:rFonts w:ascii="Times New Roman;serif" w:hAnsi="Times New Roman;serif"/>
          <w:b w:val="false"/>
          <w:color w:val="000000"/>
          <w:sz w:val="20"/>
        </w:rPr>
        <w:t>During fiscal year 2025, the Company maintained a revolving credit facility, as further described in Item 7. “</w:t>
      </w:r>
      <w:r>
        <w:rPr>
          <w:rFonts w:ascii="Times New Roman;serif" w:hAnsi="Times New Roman;serif"/>
          <w:b w:val="false"/>
          <w:i/>
          <w:color w:val="000000"/>
          <w:sz w:val="20"/>
        </w:rPr>
        <w:t>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 xml:space="preserve">of this Annual Report on Form 10-K. For a discussion of the Company’s capital resources, see Item 7. </w:t>
      </w:r>
      <w:r>
        <w:rPr>
          <w:color w:val="000000"/>
        </w:rPr>
        <w:t>“</w:t>
      </w:r>
      <w:r>
        <w:rPr>
          <w:rFonts w:ascii="Times New Roman;serif" w:hAnsi="Times New Roman;serif"/>
          <w:b w:val="false"/>
          <w:i/>
          <w:color w:val="000000"/>
          <w:sz w:val="20"/>
        </w:rPr>
        <w:t>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For the Company’s financial information by segment, see Note 11, “Operating Segments</w:t>
      </w:r>
      <w:r>
        <w:rPr>
          <w:color w:val="000000"/>
        </w:rPr>
        <w:t xml:space="preserve">” </w:t>
      </w:r>
      <w:r>
        <w:rPr>
          <w:rFonts w:ascii="Times New Roman;serif" w:hAnsi="Times New Roman;serif"/>
          <w:b w:val="false"/>
          <w:color w:val="000000"/>
          <w:sz w:val="20"/>
        </w:rPr>
        <w:t>in the notes to our Consolidated Financial Statements.</w:t>
      </w:r>
    </w:p>
    <w:p>
      <w:pPr>
        <w:pStyle w:val="TextBody"/>
        <w:bidi w:val="0"/>
        <w:spacing w:before="0" w:after="0"/>
        <w:jc w:val="both"/>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IES, we believe that attracting and retaining highly qualified and motivated employees at all levels is a key driver of our continued growth and success. Our business depends on skilled labor to complete projects for our customers, and our management and administrative functions require professional personnel to support the business. Our human capital management objectives include recruiting, retaining, developing, incentivizing and integrating our current and prospective employees as well as prioritizing and protecting their safety.</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Our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10,283 employees, of which 10,262 were full-time employees. We are party to two collective bargaining agreements covering fewer than 30 employees within our Infrastructure Solutions segment. We have not experienced, and do not expect, any work stoppage, and we believe that our relationship with our employees is strong.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diversity and inclusion in the workplace, and our policies prohibit discrimination based on race, color, sex, gender, gender identity, sexual orientation, religion, marital status, national origin, ethnicity, citizenship status, religious creed or belief, physical or mental disability, protected veteran status and relatives of protected veterans, marital or familial status, legally protected medical condition, genetic information and any other status protected by local, state or federal law. This commitment applies to all aspects of employment, including recruitment, hiring, training, compensation, job assignment, advancement, performance feedback and separation.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support our employees’ and their families’ health by offering comprehensive benefits programs, including medical, dental, vision and prescription insurance. We also offer our employees a 401(k) plan, and life and disability insurance plans.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Recruiting and Training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key factor in IES’s long-term strategy is the recruitment and retention of high-quality employees. We use both internal and external resources to recruit employees, including monitoring competitive compensation levels in the markets in which we operate. Our Communications segment has entered into a partnership with the U.S. Army to guarantee job interviews to those who have completed Army Reserve training or a first term of active duty service, and we value the leadership and work ethic military veterans bring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invested significant resources in development opportunities for employees. For example, our Residential segment has established two residential education centers, which are dedicated facilities that train employees from around the country in the technical skills necessary for successful careers in residential electrical, plumbing and HVAC contracting. At all of our segments, we also include online training offerings to help meet the needs of our often mobile workforce. We believe our investment in training supports employee motivation and retention at the same time that it improves productivity and performance.</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i/>
          <w:color w:val="000000"/>
          <w:sz w:val="20"/>
        </w:rPr>
      </w:pPr>
      <w:r>
        <w:rPr>
          <w:rFonts w:ascii="Times New Roman;serif" w:hAnsi="Times New Roman;serif"/>
          <w:b w:val="false"/>
          <w:i/>
          <w:color w:val="000000"/>
          <w:sz w:val="20"/>
        </w:rPr>
        <w:t>Safety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fostering a strong safety culture that supports the health, safety and wellness of our employees, and this commitment is reflected in our track record of workplace safety that exceeds industry averages. Our regional safety managers, under the supervision of our Vice President of Safety, seek to maintain standardized safety and environmental policies, programs and procedures and provide personal protective equipment relevant to each segment, including programs to train new employees. Our safety leadership continuously monitors and addresses safety performance, provides regular training and educational programs on safety and participates in numerous industry safety organizations.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CLIMATE CHANGE-RELATED IMPACTS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climate-related risks as part of our overall planning and risk management process, with oversight by our Board of Directors. Challenges such as increasing frequency and severity of weather events and prolonged periods of elevated temperatures have affected, and are expected to continue to affect, our operations. Severe weather events such as hurricanes and other storms can interrupt our operations by requiring that work be temporarily suspended on construction projects or by impacting the ability of our employees to report to work or reach job sites. Severe weather can also have a negative effect on the housing market by increasing the cost of insurance for home buyers, particularly in the Gulf Coast region, which is an important market for our Residential segment. Additionally, sustained elevated temperatures relative to historical norms in certain regions, especially on job sites where our employees are working outdoors, can pose health and safety challenges that require us to implement additional protective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monitoring the impact of new and evolving regulations, which we expect will result in additional compliance costs. For example, the State of California has recently adopted rules requiring the disclosure of a range of climate-related risks and impacts, as well as greenhouse gas emissions, and new legislation in other jurisdictions may follow. As a result, we expect to incur increased costs to comply with such requirements.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have 174 domestic locations. In addition to our 2 executive and corporate offices, as of September 30, 2025, we have 41 locations within our Communications business, 99 locations within our Residential business, 15 locations within our Infrastructure Solutions business and 17 locations within our Commercial &amp; Industrial business. This geographic diversity helps to reduce our exposure to unfavorable economic developments in any given region.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OFFICERS OF THE 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information with respect to each executive officer is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Jeffrey, L. Gendell,</w:t>
      </w:r>
      <w:r>
        <w:rPr>
          <w:color w:val="000000"/>
        </w:rPr>
        <w:t xml:space="preserve"> </w:t>
      </w:r>
      <w:r>
        <w:rPr>
          <w:rFonts w:ascii="Times New Roman;serif" w:hAnsi="Times New Roman;serif"/>
          <w:b w:val="false"/>
          <w:color w:val="000000"/>
          <w:sz w:val="20"/>
        </w:rPr>
        <w:t xml:space="preserve">66, has served as Executive Chairman of the Company since July 1, 2025. He previously served as the Chief Executive Officer from October 1, 2020 through June 30, 2025, and served as Interim Chief Executive Officer from July 31, 2020 to September 30, 2020. Mr. Gendell has also served as a director and as Chairman of the Board since November 2016. Mr. Gendell is the founder and managing member of Tontine, our controlling shareholder. Mr. Gendell formed Tontine in 1995 and manages all of the investment decisions at the firm. Prior to forming Tontine, Mr. Gendell held senior investment management positions at several other private investment firms, including Odyssey Partners, L.P., and began his career in investment banking over 40 years ago at Smith Barney, Harris Upham &amp; Co., where he was involved in capital markets, corporate finance and M&amp;A activity.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Matthew J. Simmes</w:t>
      </w:r>
      <w:r>
        <w:rPr>
          <w:rFonts w:ascii="Times New Roman;serif" w:hAnsi="Times New Roman;serif"/>
          <w:b w:val="false"/>
          <w:color w:val="000000"/>
          <w:sz w:val="20"/>
        </w:rPr>
        <w:t>, 50, has served as President and Chief Executive Officer of the Company since July 1, 2025.  He previously served as President and Chief Operating Officer of the Company from December 2023 through June 2025, and as Chief Operating Officer of the Company from December 2021 through December 2023. Mr. Simmes has spent 30 years at IES and its predecessors in a variety of roles. He served as President of IES Communications from January 2017 to December 2021 and was the segment’s Vice President of Operations from March 2006 to December 2016 and branch manager of its Arizona operations from 2003 to 2006.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Tracy A. McLauchlin</w:t>
      </w:r>
      <w:r>
        <w:rPr>
          <w:rFonts w:ascii="Times New Roman;serif" w:hAnsi="Times New Roman;serif"/>
          <w:b w:val="false"/>
          <w:color w:val="000000"/>
          <w:sz w:val="20"/>
        </w:rPr>
        <w:t>, 56, has served as Senior Vice President, Chief Financial Officer and Treasurer of the Company since May 2015. She previously served as 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with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Mary K. Newman</w:t>
      </w:r>
      <w:r>
        <w:rPr>
          <w:rFonts w:ascii="Times New Roman;serif" w:hAnsi="Times New Roman;serif"/>
          <w:b w:val="false"/>
          <w:color w:val="000000"/>
          <w:sz w:val="20"/>
        </w:rPr>
        <w:t>, 45, has served as Senior Vice President, Chief Administrative Officer, General Counsel and Corporate Secretary of the Company since July 1, 2025, and previously served as Vice President, General Counsel and Corporate Secretary of the Company from December 2019 through June 2025.  Prior to joining IES, Ms. Newman was a Partner with the law firm of Dinsmore &amp; Shohl, LLP from January 2017 to November 2019 and was an Associate from September 2011 to December 2016, where her practice focused on representing public and private companies in corporate transactions, including mergers, acquisitions and dispositions. She began her legal career with the law firm of Sullivan &amp; Cromwell LLP after receiving her J.D. from Harvard Law School and B.A. from Duke University.</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Matthew M. Allen</w:t>
      </w:r>
      <w:r>
        <w:rPr>
          <w:rFonts w:ascii="Times New Roman;serif" w:hAnsi="Times New Roman;serif"/>
          <w:b w:val="false"/>
          <w:color w:val="000000"/>
          <w:sz w:val="20"/>
        </w:rPr>
        <w:t xml:space="preserve">, 51, has served as the Chief Technical Officer of the Company since July 2024. Previously, he was Vice President of Pre-construction at IES Communications from January 2019 to July 2024 and was a Field Application Engineer at CommScope, a network infrastructure provider, from April 2018 to December 2019. In addition, from August 2012 to March 2018, he held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roles at IES Communications, including National Colocation Datacenter Division Manager. Mr. Allen is also a veteran of the United States Navy.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have adopted a Code of Ethics for Financial Executives that applies to our principal executive officer, principal financial officer and principal accounting officer. The Code of Ethics may be found on our website at</w:t>
      </w:r>
      <w:r>
        <w:rPr>
          <w:color w:val="000000"/>
        </w:rPr>
        <w:t xml:space="preserve"> </w:t>
      </w:r>
      <w:r>
        <w:rPr>
          <w:rFonts w:ascii="Times New Roman;serif" w:hAnsi="Times New Roman;serif"/>
          <w:b w:val="false"/>
          <w:i/>
          <w:color w:val="000000"/>
          <w:sz w:val="20"/>
        </w:rPr>
        <w:t>www.ies-corporate.com/governance-documents</w:t>
      </w:r>
      <w:r>
        <w:rPr>
          <w:rFonts w:ascii="Times New Roman;serif" w:hAnsi="Times New Roman;serif"/>
          <w:b w:val="false"/>
          <w:color w:val="000000"/>
          <w:sz w:val="20"/>
        </w:rPr>
        <w:t xml:space="preserve">. 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Current Report on Form 8-K. Paper copies of these documents are also available free of charge upon written request to us.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General information about us can be found on our website at</w:t>
      </w:r>
      <w:r>
        <w:rPr>
          <w:color w:val="000000"/>
        </w:rPr>
        <w:t xml:space="preserve"> </w:t>
      </w:r>
      <w:r>
        <w:rPr>
          <w:rFonts w:ascii="Times New Roman;serif" w:hAnsi="Times New Roman;serif"/>
          <w:b w:val="false"/>
          <w:i/>
          <w:color w:val="000000"/>
          <w:sz w:val="20"/>
        </w:rPr>
        <w:t>www.ies-co.com</w:t>
      </w:r>
      <w:r>
        <w:rPr>
          <w:color w:val="000000"/>
        </w:rPr>
        <w:t xml:space="preserve"> </w:t>
      </w:r>
      <w:r>
        <w:rPr>
          <w:rFonts w:ascii="Times New Roman;serif" w:hAnsi="Times New Roman;serif"/>
          <w:b w:val="false"/>
          <w:color w:val="000000"/>
          <w:sz w:val="20"/>
        </w:rPr>
        <w:t>under “Investor Relations.” We file our interim and annual financial reports, as well as other reports required by the Securities Exchange Act of 1934, as amended (the “Exchange Act”), with the SEC.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which will provide you with a copy of these reports, or you may find them at </w:t>
      </w:r>
      <w:r>
        <w:rPr>
          <w:rFonts w:ascii="Times New Roman;serif" w:hAnsi="Times New Roman;serif"/>
          <w:b w:val="false"/>
          <w:i/>
          <w:color w:val="000000"/>
          <w:sz w:val="20"/>
        </w:rPr>
        <w:t>www.ies-corporate.com/financial-information/sec-filings</w:t>
      </w:r>
      <w:r>
        <w:rPr>
          <w:rFonts w:ascii="Times New Roman;serif" w:hAnsi="Times New Roman;serif"/>
          <w:b w:val="false"/>
          <w:color w:val="000000"/>
          <w:sz w:val="20"/>
        </w:rPr>
        <w:t>. The materials that we file with the SEC are also available free of charge through the SEC’s website at</w:t>
      </w:r>
      <w:r>
        <w:rPr>
          <w:color w:val="000000"/>
        </w:rPr>
        <w:t xml:space="preserve">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Code of Ethics for Financial Executives, we have adopted a Code of Business Conduct and Ethics for directors, officers and employees (the Legal Compliance and Corporate Policy),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Risks Relating to the Operations of our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Demand for our services is cyclical and vulnerable to economic downturns affecting the industries we 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our services has been, and will likely continue to be, cyclical in nature and vulnerable to downturns in the construction industry, the housing market, and other industries in which our end customers operate. Many of our customers depend on the availability of credit to purchase our services or electrical and mechanical products. In the past, when the general level of economic activity has been reduced from historical levels, certain of our customers have delayed or cancelled projects or capital spending, thereby reducing our revenues and profitability. General concerns about the fundamental soundness of the economy may cause customers to defer projects, even if they have credit available to them. Prolonged uncertainties in the credit market, or the return of constrained credit market conditions, including the impact of interest rates in the housing markets, could adversely affect demand, which would have adverse effects on our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could be adversely impacted by changes in general economic conditions, including the effects of inflation, supply chain constraints, and an economic downturn or recession.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and the industries in which we operate are vulnerable to changing macroeconomic conditions, including supply chain constraints, high rates of inflation, changes in consumer sentiment, elevated interest rates, and market disruptions resulting from a number of factors, including geo-political events such as the Ukraine-Russia war, the conflict in the Middle East, and trade tensions between the U.S. and China. These and other market factors have negatively impacted, and may continue to negatively impact, our revenues and our cost for labor, materials, utilities, and other goods and services as well as our ability to collect on our outstanding receivables, to the extent our customers are affected by the same negative conditions. Further, if the U.S. economy experiences a downturn or recession, our customers may be unable to obtain financing for new projects, or they may decide to delay or cancel projects even if they have credit available to them. As a result, these conditions have had, and they or any similar future conditions may continue to have, adverse impacts on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highly competitive nature of our industries could affect our profitability by reducing our revenues or profit margins.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industries in which we compete are highly fragmented and are generally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and custom engineered electro-mechanical products for mission critical infrastructure, have attractive growth and profitability characteristics. Some of our competitors in certain markets may offer a greater range of services than we offer in those markets, including mechanical construction and facilities management.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generate a significant portion of our revenues under fixed price contracts. The estimates we use in placing bids and changes in commodity and labor costs could have an adverse effect on our ability to maintain our profitability.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and execute projects, have in the past resulted in, and may in the future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the costs associated with labor and commodities, such as copper, aluminum, steel, electrical components, fuel, and certain plastics, increase due to low supply, inflation, general market conditions, supply chain disruptions and delays, or other forces, losses may be incurred. Some of our materials have been and may continue to be subject to sudden and significant price increases, and continued high demand and low supply for those resources may lead to additional price increases. Depending on competitive pressures and the fixed price nature of many of our contracts, we may not be able to pass on these cost increases to our customers, which would reduce our gross profit margins and, in turn, make it more difficult for us to maintain our profitability. We have a work force of over 10,000 employees, and our labor costs may fluctuate based on availability of and demand for workers as well as other labor related risks, including risks related to collective bargaining agreements, benefits arrangements, increased healthcare costs, wage and hour claims and other compensation arrangements.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 failure to secure new contracts may adversely affect our cash flows and financial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Much of our revenue is derived from projects that are awarded through a competitive bid process. Contract bidding and negotiations are affected by a number of factors, including our own cost structure and bidding policies. The failure to bid and be awarded projects, cancellations of projects or delays in project start dates could affect our ability to deploy our assets profitably.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Further, when we are awarded contracts, we face additional risks that could affect whether, or when, work will begin. We could experience a decrease in profitability if we are unable to replace canceled, completed or expired contracts with new work.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derive a meaningful portion of our revenues from a small number of customers, and the loss of one or more of these customers could adversely affect our revenues,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do not have any single customer that represented more than 10% of our consolidated revenue in fiscal 2025, there are customers that are significant to our individual operating segments. Although we have long-standing relationships with some of these significant customers, it is not possible for us to predict the future level of demand for our services by these customers, and if one or more of them were to significantly delay, reduce or curtail activity, or stop accepting bids from us, it could have a material impact on our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rely on third parties, including subcontractors and suppliers, in connection with many of our projects and a failure to retain subcontractors or obtain supplies, or increased costs as a result of using these third parties, could adversely impact our revenues,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hire third-party subcontractors to perform work on certain of our projects, and if we are unable to retain qualified subcontractors or if our subcontractors do not perform in accordance with their obligations, we have in the past incurred, and may in the future incur, additional costs or experience delays in project execution, which could subject us to contractual penalties.</w:t>
      </w:r>
      <w:r>
        <w:rPr>
          <w:color w:val="000000"/>
        </w:rPr>
        <w:t xml:space="preserve"> </w:t>
      </w:r>
      <w:r>
        <w:rPr>
          <w:rFonts w:ascii="Times New Roman;serif" w:hAnsi="Times New Roman;serif"/>
          <w:b w:val="false"/>
          <w:color w:val="000000"/>
          <w:sz w:val="20"/>
        </w:rPr>
        <w:t xml:space="preserve">We also rely on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materials necessary to complete our projects, and if a supplier fails to provide supplies when scheduled or at a higher price than expected, project delays and additional costs could have an adverse effect on our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inability to carry out plans and strategies as expected, including our inability to identify and complete acquisitions and investments that meet our investment criteria in furtherance of our corporate strategy or the subsequent underperformance of those acquisitions and investments, may adversely impact our future growth and profitability.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corporate strategy includes creating shareholder value through acquiring businesses that we believe will strategically complement our existing business segments or acquiring or investing in stand-alone platform companies based in North America. While we believe that acquisitions will provide an opportunity to expand into new or related services, products, end-markets or geographic areas and diversify our revenue and profit streams, potential acquisitions could result in changes in our operations from those historically conducted by us and introduce the requirement for new controls. Alternatively, our failure to diversify from existing markets may limit our future growth. In addition, we have made, and may continue to make, investments in debt or equity securities of publicly traded and privately held companies, including early-stage companies and more established companies. We are subject to risks associated with these investments. In addition, we may have limited ability to dispose of these investments due to lack of an active market for or contractual limitations on our ability to sell a particular investment, and the partial or complete loss of invested capital, and significant changes in the fair value of our investment portfolio could adversely impact our financial results. Further, valuations of non-marketable debt and equity investments are inherently complex due to the lack of readily available market data and may involve subjective judgments and estimates. Some of our past acquisitions and investments have not performed as expected, and there is no assurance that future acquisitions and investments will perform as expected or generate a positive return on investment due to factors we could not predict prior to the acquisition or due to incorrect investment assumptions.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Acquisitions, dispositions and other strategic transactions that we may pursue could have a negative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our financial condition, results of operations and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difficulties of integrating a business, assets or operations may include, among other things: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geographically separated organizations and possible differences in corporate cultures and management philosophies;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demands on management resources, which may distract management’s attention from day-to-day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differences in the disclosure systems, compliance requirements, accounting systems, and accounting controls and procedures of the acquired company, which may interfere with our ability to make timely and accurate public disclosure;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demands of managing new locations, new personnel and new lines of business acquired.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Backlog may not be realized or may not result in profits.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often have no obligation under our contracts to assign or release work to us, and many contracts may be terminated on short notice. Reductions in backlog due to cancellation of one or more contracts by a customer or for other reasons, or our failure to execute projects in backlog as expected,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We may fail to adequately recover on contract change orders.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pursue claims against our customers to recover costs incurred on a project in excess of the original contract amount. Such additional costs may be incurred in connection with project delays caused by our customers or third parties, including other trades, or changes in project scope or specifications. While we generally negotiate with the customer for additional compensation, we may be unable to obtain, through negotiation, arbitration, litigation or otherwise, adequate compensation for the additional work performed or expenses incurred. The process of pursuing a claim may be lengthy, result in significant legal fees, and negatively impact our relationships with customers. In addition, our ability to recover on contract change orders could be negatively impacted by our customers' reduced access to capital in a weak economic environment, particularly in a period of restrictive credit markets. Furthermore, we may be required to invest significant working capital to fund cost overruns while the resolution of a claim is pending, and our additional costs may not be recovered until the claim is resolved, if at all. When appropriate, we establish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against possible exposures, and we adjust these provisions from time to time, but our assumptions and estimates related to these exposures might prove to be inadequate or inaccurate. Unfavorable resolution of these matters can result in a reduction of revenues and profit recognized in prior periods or the recognition of a loss, which could have a material adverse effect on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 may incur significant charges or be adversely impacted by the closure or sale of facilities or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costs pursuant to obligations to indemnify buyers after assets are sold, or other unexpected liabilities from closed facilities beyond the closing date, and if we dispose of a segment or business, we may continue to be subject to certain prior liabilities of that business after its disposition and may not be able to negotiate for limitations on those liabilities, all of which could adversely impact our financial returns.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Epidemics, pandemics, and other potential public health emergencies could have a future materially adverse impact on our business, including our financial condition, cash flows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Pandemics and other public health emergencies, such as the COVID-19 pandemic, have had adverse impacts on our results of operations in the past. The impact of future epidemics, pandemics or other public health emergencies on our business is difficult to predict, but adverse impacts could include the potential for job site closures or work stoppages, supply chain disruptions, delays in awarding new project bids, construction delays, reduced demand for our services, delays in our ability to collect from our customers, or illness of management or other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availability and cost of surety bonds affect our ability to enter into new contracts and our margins on those engagements.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or if we are unable to obtain bonds at a reasonable cost, we may be unable to compete for, or work on, certain projects.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subject to risks associated with seasonality, adverse weather conditions, and climate change.</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Our business is subject to seasonal variations in operations and demand that affect the construction business, particularly in the Residential and Commercial &amp; Industrial segments. Adverse weather conditions, including rain, heat, ice, cold or snow, may not only delay our work and contribute to project inefficiency, but may negatively impact our schedules and profitability by delaying the work of other trades on a construction site. Extreme weather conditions (such as hurricanes or other storms, droughts, extreme heat or cold, wildfires and floods) have from time to time had, and may in the future have, a negative impact on our business, including by limiting the availability of resources, increasing our costs, damaging property, disrupting our workforce, or causing projects to be delayed or cancelled.</w:t>
      </w:r>
      <w:r>
        <w:rPr>
          <w:color w:val="000000"/>
        </w:rPr>
        <w:t xml:space="preserve"> </w:t>
      </w:r>
      <w:r>
        <w:rPr>
          <w:rFonts w:ascii="Times New Roman;serif" w:hAnsi="Times New Roman;serif"/>
          <w:b w:val="false"/>
          <w:color w:val="000000"/>
          <w:sz w:val="20"/>
        </w:rPr>
        <w:t xml:space="preserve">A portion of our business operates in certain geographic areas, such as Texas and Florida, where these risks are elevated. If the cost of property insurance in those or other geographic areas increases, or if it becomes more difficult to obtain, it could have a negative impact on customer demand, particularly in our Residential segment. To the extent climate change results in an increase in extreme weather events and adverse weather conditions, the likelihood of a negative impact on our results of operations may increase.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Our results may fluctuate from period to period due to cyclicality, regional economic conditions, or other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Factors arising from the cyclicality of industries in which we operate, including the timing of new customer contracts, may result in significant fluctuations in our operating results on a quarterly or annual basis. Our results from period to period may also be affected by regional economic conditions that affect the construction market. In particular, a prolonged period of weak demand in the oil and gas industry or increased regulatory restrictions on the industry could dampen the housing market in certain regions, resulting in reduced demand for the services provided by our Residential segment. Infrastructure Solutions’ revenues from industrial services may be affected by the timing of scheduled outages or capital projects at its industrial customers’ facilities, by demand for design, construction and site support of data centers, and by changes in spending in public infrastructure, power and steel markets. Industrial and rail customers may also be affected by volatility in oil prices. Accordingly, our performance in any particular quarter or year may not be indicative of the results that can be expected for any other quarter, for the entire year, or for any other year.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experience difficulties in managing our billings and collections.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billings under fixed price contracts in our contracting business are generally based upon achieving certain milestones and will only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operations are subject to numerous physical hazards. If an accident occurs, it could result in an adverse effect on our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While we have invested significant efforts in our safety programs in an effort to minimize safety risks, we have experienced serious accidents in the past and may experience additional accidents in the future. Serious accidents may subject us to penalties, civil litigation or criminal prosecution. Our insurance does not cover all types or amounts of liabilities. In addition, if our safety record were to substantially deteriorate over time, our customers could cancel our contracts or not award us future business.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current insurance coverage may not be adequate, and we may not be able to obtain insurance at acceptable rates, or at all.</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insurance coverage in part because some of our contracts require us to carry certain levels of insurance coverage, which is common in the industries in which we operate. Our third-party insurance is subject to high deductibles for which we establish reserves, and therefore we are effectively self-insured for typical claims up to those deductibles. In addition, we maintain most of our employee health insurance coverage on a self-insured basis and are responsible for losses up to our stop loss coverage, which sets a limit on our liability for claim costs. No assurance can be given that our insurance or our provisions for incurred claims and incurred but not reported claims will be adequate to cover all losses or liabilities we may incur in our operations, including employee health care costs, which have increased in recent years; nor can we provide assurance that we will be able to maintain adequate insurance at reasonable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and claims can cause unexpected losses.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all of our businesses, we are subject to potential claims and litigation, including contractual disputes, warranty claims, and claims related to our compliance with legal and regulatory requirements. We have in the past been, and may in the future be, named as a defendant in lawsuits, claims and other legal proceedings;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We also have in the past been, and may in the future be, subject to employment-related claims including workers' compensation, employment discrimination, and wage and hour claims.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 In addition, due to the inherent uncertainties of litigation, we cannot accurately predict the ultimate outcome of any such actions or proceedings, which could result in significant expense, damage to our reputation and diversion of management’s attention from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Latent defect litigation is normal for residential home builders in some parts of the country. Any increases in our latent defect claims and litigation could place pressure on our profitability.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Regulatory requirements could result in significant compliance costs and liabilities.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operations throughout the United States and are subject to multiple state and local regulations. In addition, our segments from time to time perform work as federal government subcontractors, or perform work on projects that have received federal government funding, and as a result may be subject to federal laws and requirements applicable to government contractors. If we fail to comply with those requirements, we may be subject to fines, penalties or suspension from doing business with the federal government. Our 174 locations are located in 28 states, which exposes us to a variety of different state and local laws and regulations, including those pertaining to electrical contractor and other licensing requirements. These laws and regulations govern many aspects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there are often different standards and requirements in different locations.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 In addition, we are required to maintain certain electrical, construction, mechanical and business licenses. If we fail to successfully transfer, renew or obtain such licenses where applicable, we may experience increased costs and other negative impacts on our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Disruptions to the proper functioning of our information technology systems or security breaches of our critical data, sensitive information or information technology systems could disrupt operations and cause increases in costs, decreases in revenues and/or harm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Company continues to increase its dependence on information technology systems, networks, and infrastructure to conduct our day-to-day operations and manage the way we provide services to our customers. Disruptions to our information technology systems or our failure to adequately protect critical data, sensitive information, and information technology systems could materially affect our business or result in harm to our reputation. Our critical accounting, project management, estimating, and financial information systems, some of which are third-party platforms, all rely on the proper functioning and security of our information technology environment and are critical to the successful operation of our business. We also collect and retain information about our customers, stockholders, vendors, and employees, with the expectation by such third parties being that we will adequately protect such information. Although our information technology systems, networks and infrastructure are protected through our policies, procedures and physical and software safeguards, our information technology environment is still vulnerable to natural disasters, power losses, telecommunication failures, deliberate intrusions, inadvertent user misuse or error, computer viruses, malicious code, ransomware attacks, acts of terrorism and other cyber security risks, which could cause a loss of critical data, or release of sensitive information. If critical information systems fail or are otherwise unavailable, or if sensitive information is released, we could experience reputational harm, loss of customers and revenue, loss of proprietary data, regulatory actions and scrutiny, statutory penalties, and litigation.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from time to time experienced cybersecurity incidents, such as ransomware attacks or unauthorized parties gaining access to our information technology systems, and privacy incidents, such as potential or actual exposure of data. While to date such incidents have not had a material impact on our business, there can be no assurance that future incidents would not have an adverse effect on our business or reputation. Additionally, the process of integrating the information systems of the businesses we acquire is complex and exposes us to additional risk as we might not adequately identify weaknesses in the acquired business’s information systems or information handling, privacy and security policies and protocols, which could expose us to unexpected liabilities or make our own systems and data more vulnerable to attack. In addition, data privacy laws and regulations governing the unauthorized disclosure of confidential information may pose compliance challenges and result in additional costs for our businesses. A failure to comply with such laws and regulations could result in penalties or fines, legal liabilities or reputational harm.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We may be required to conduct environmental remediation activities, which could be expensive and inhibit the growth of our business and our ability to maintain profitability, particularly in our Infrastructure Solutions business.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could be held liable for such contamination created not only from our own activities but also from the historical activities of companies we have acquired, or the activities of others on properties that we own or lease. There can be no assurance that the discovery of currently unknown problems or conditions will not require substantial additional expenditures. In addition, if we do not comply with these laws and regulations, we could be subject to material administrative, civil or criminal penalties, or other substantial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Compliance with current and future environmental laws and regulations, including those relating to climate change, could adversely impact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Increasing concerns about climate change and other environmental issues may result in additional environmental regulations and restrictions, and we cannot predict the nature, scope or effect of legislation or regulatory requirements that could be imposed, or how existing or future laws or regulations will be administered or interpreted. Compliance with more stringent laws or regulations, as well as more vigorous enforcement policies of the regulatory agencies, could increase the costs of projects for us or our customers, potentially resulting in reduced profitability or a reduced demand for our services, or require us to incur substantial costs of compliance.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loss of a group or several key personnel, either at the corporate or operating level, or general labor constraints could adversely affect our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As a service organization, relationships with significant customers can be dependent on certain employees within our organization, and our ability to meet our contractual obligations to our customers and support our growth strategy may be limited by our ability to retain and train necessary personnel. We cannot guarantee that any member of management at the corporate or operating segment level will continue in their capacity for any particular period of time, and there is significant competition in our industry for managerial personnel. We have a severance plan in place that covers certain of our senior leaders; however, this plan can neither guarantee that we will not lose key employees, nor prevent them from competing against us.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labor intensive, and many of our operations experience a high rate of employee turnover. We also may be constrained in hiring and retaining sufficient qualified employees to support our growth strategy due to general labor shortages in our industries. In addition, a lack of skilled labor or increased turnover rates within our employee base could lead to increased costs, such as increased overtime to meet demand and increased wage rates to attract and retain employees. Continued labor constraints may limit our ability to grow and may limit our profitability due to the impact of rising wages.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Risks Relating to our Financial Results, Financing and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impact on our customers of negative conditions in the credit and capital markets may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economic factors, including financing conditions for our customers' industries, have, in the past, adversely affected our customers and their ability or willingness to fund expenditures. Many of our customers depend on the availability of credit to help finance their capital and maintenance projects. At times, tightened availability of credit and changes in interest rates that affect the cost of construction financing and mortgages have negatively impacted the ability of existing and prospective customers to obtain sufficient financing and fund projects we might otherwise perform. As a result, our customers may defer such projects for an unknown, and perhaps lengthy, period. Any such deferrals would inhibit our growth and would adversely affect our results of operations.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 weak economic environment, particularly in a period of restrictive credit markets, we may experience greater difficulties in collecting payments from our customers due to, among other reasons, a diminution in our ultimate customers’ access to the credit markets. If clients delay in paying or fail to pay a significant amount of our outstanding receivables, it could have an adverse effect on our liquidity, results of operations, and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 fund our working capital requirements, complete acquisitions and service any debt we may incur, we may require a significant amount of cash. Our ability to generate cash from operations or to access the capital markets for required funding depends on many factors that are beyond our control.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grow our business, including through acquisitions and the funding of working capital requirements, as well as our ability to make payments on or refinance any indebtedness we may incur, will depend on our ability to access capital markets and generate cash from operations in the future. This is subject to our operational performance, as well as general economic, financial, capital market, competitive, legislative, regulatory and other factors that are beyond our control.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our business will generate sufficient cash flow from operations or asset sales, or have access to sources of cash from the capital markets or from borrowings under our credit facility, in amounts sufficient to enable us to complete acquisitions, to service any debt we may incur or to fund our other liquidity needs. We may need to refinance our credit facility on or before maturity. We cannot provide assurance that we will be able to refinance our credit facility on commercially reasonable terms or at all. Our inability to access capital on commercially reasonable terms could have a material adverse effect on our business.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tax positions or changes in tax laws may adversely affect our results.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and cash paid for taxes are impacted by the tax positions that we have adopted. Taxing authorities may not always agree with the positions we have taken. We have established reserves for tax positions that we have determined to be less than likely to be sustained upon examination by taxing authorities. However, there can be no assurance that our results of operations will not be adversely affected in the event that disagreement over our tax positions does arise. Additionally, new tax laws or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existing interpretation and guidance could affect our provision for income taxes, deferred tax assets and liabilities, and reserves for uncertain tax positions, potentially resulting in an increase to our effective tax rate, which could adversely affect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restrictions and covenants under our credit agreement and the failure to meet these covenants could result in a default under our credit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not be able to remain in compliance with the covenants in our credit agreement, including financial covenants which, among other things, require minimum levels of liquidity and require us to maintain specified leverage and interest coverage ratios as defined under our credit agreement. Other covenants, among other things, limit our ability to provide liens, restrict fundamental changes, limit transactions with affiliates and subsidiaries, restrict changes to our organization documents, limit asset dispositions, limit investments, limit the ability to incur debt, restrict certain payments to shareholders, limit our ability to repurchase our stock, and limit the ability to change the nature of our business. A failure to fulfill the terms and requirements of our credit agreement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The preparation of our financial statements requires management to make certain estimates and assumptions that may differ from actual results, and we may be adversely impacted by new accounting, control and operating procedures.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GAAP accounting requires that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precisely from available data and, accordingly, requires the use of management’s judgment. Estimates and assumptions are used in, among other areas, our assessment of revenue recognition of construction in progress, fair value assumptions in accounting for business combinations, stock-based compensation, reserves for legal matters, and realizability of deferred tax assets and unrecognized tax benefits.</w:t>
      </w:r>
      <w:r>
        <w:rPr>
          <w:color w:val="000000"/>
        </w:rPr>
        <w:t xml:space="preserve"> </w:t>
      </w:r>
      <w:r>
        <w:rPr>
          <w:rFonts w:ascii="Times New Roman;serif" w:hAnsi="Times New Roman;serif"/>
          <w:b w:val="false"/>
          <w:color w:val="000000"/>
          <w:sz w:val="20"/>
        </w:rPr>
        <w:t>Actual results could differ from those estimates and assumptions, and such differences may be material to our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use of percentage-of-completion accounting could result in a reduction or elimination of previously reported profits.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reported operating results could be adversely affected as a result of goodwill impairment charges.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 accounting requires that goodwill attributable to each of our reporting units be tested at least annually, or when changes in circumstance indicate the carrying value of our reporting units may not be recoverable. At September 30, 2025, we had recorded $107.8 million of goodwill on our Consolidated Balance Sheets. Factors that could lead to impairment of current goodwill in the future include significant adverse changes in the business climate, declines in the financial condition of our business, and actual or projected future operating results affecting the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Risks Relating to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Existence of a controlling shareholder.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majority of our outstanding common stock is owned by Tontine, and Jeffrey Gendell, founder and managing member of Tontine, serves as Executive Chairman of our Board of Directors. Tontine owns approximately 54 percent of the Company’s outstanding common stock based on a Form 4 and a Schedule 13D/A filed by Tontine with the SEC on September 17, 2025, and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as of November 17, 2025.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of the Company's assets or business segments or the Company itself. This control also gives Tontine the ability to bring matters to a shareholder vote that may not be in the best interest of our other shareholders or stakeholders. The concentration of ownership may also have the effect of discouraging a change in control transaction, which could prevent other shareholders from selling their shares in the Company at a premium as part of such transaction. Additionally, Tontine is in the business of investing in companies and may, from time to time, acquire and hold interests in businesses that compete directly or indirectly with us or act as suppliers or customers of the Company. Most of Tontine's shares are registered for resale on a resale shelf registration statement filed by the Company with the SEC. Pursuant to such resale shelf registration statement,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 significant portion of its shares could result in a change of control of the Company, which may trigger the change of control provisions in a number of our material agreements, including our credit agreement, bonding agreements with our sureties, and our executive severance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Our common stock has less liquidity than many other stocks listed on the Nasdaq Global Market.</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trading volume of our common stock has been relatively low when compared to other companies listed on the Nasdaq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historically lower liquidity has in the past contributed to increased volatility in the price of our common stock. This lower liquidity, along with the other risk factors discussed herein, may impact our stock price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may issue additional shares of common stock, preferred stock or convertible securities that will dilute the percentage ownership interest of existing stockholders and may dilute the book value per share of our common stock.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includes 100,000,000 shares of common stock and 10,000,000 shares of preferred stock. As of September 30, 2025, we had 22,049,529 shares of common stock issued, 19,854,463 shares of common stock outstanding and no shares of preferred stock issued or outstanding. As of September 30, 2025, we had the ability to issue 1,265,801 shares of common stock, including upon the exercise of options, as future grants under our existing equity compensation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currently do not have any intention of issuing additional common stock (other than pursuant to our equity compensation plans) or preferred stock, we may do so in the future as consideration for certain acquisitions and in order to meet our capital needs. Subject to applicable Nasdaq Listing Rules, our Board of Directors generally has the authority, without action by or vote of the stockholders, to issue all or part of any authorized but unissued shares of common stock or preferred stock for any corporate purpose. We may seek additional equity capital in the future as we develop our business and expand our operations. Any issuance of additional shares of common stock, preferred stock, or convertible securities will dilute the percentage ownership interest of our stockholders and may dilute the book value per share of our common stock.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Substantial sales of our common stock could adversely affect our stock price.</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Increasing scrutiny and changing expectations with respect to our approach to climate related risks may expose us to reputational or other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Various stakeholders have increased their emphasis on companies' disclosures of climate related risks and the environmental impact of operations. Mandatory and voluntary reporting of climate related matters continues to expand. A failure to comply with requirements or to meet investor or customer expectations and standards, which are evolving and vary considerably, or the perception that we have not responded appropriately to the growing concern for climate related issues, could result in reputational harm to our business and could have an adverse effect on 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organizations that provide ratings information to investors on such matters may assign unfavorable ratings to IES or our industries, which may lead to negative investor sentiment and the diversion of investment capital to other companies or industries, which could have a negative impact on our stock price and our costs of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bylaws designate the Court of Chancery of the State of Delaware as the sole and exclusive forum for certain types of actions and proceedings that may be initiated by our shareholders, which could increase the costs for our shareholders to bring claims, discourage our shareholders from bringing claims, or limit our shareholders’ ability to obtain a favorable judicial forum for disputes with us or our current or former directors, officers, employees or shareholders in such capacity.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the Court of Chancery of the State of Delaware is, to the fullest extent permitted by law, the sole and exclusive forum for claims, including derivative claims that are based upon a violation of a duty by a current or former director, officer, employee or shareholder in such capacity or as to which the Delaware General Corporation Law confers jurisdiction upon the Court of Chancery. The exclusive forum provision may increase the costs for a shareholder to bring a claim or limit a shareholder’s ability to bring a claim in a judicial forum that the shareholder finds favorable for disputes with us or our directors, officers, employees or shareholders in such capacity, which may discourage such lawsuits against us and such persons. Alternatively, if a court were to find these provisions of our bylaws inapplicable to, or unenforceable in respect of, the claims as to which they are intended to apply, then we may incur additional costs associated with resolving such matters in other jurisdictions, which could adversely affect our business, financial position or results of operations. While the exclusive forum provision applies to state and federal law claims, our shareholders will not be deemed to have waived our compliance with, and the exclusive forum provision will not preclude or contract the scope of exclusive federal or concurrent jurisdiction for actions brought under, the federal securities laws, including the Exchange Act, or the Securities Act of 1933, as amended, and the rules and regulations promulgated thereunder.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General Risks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control system, misstatements due to error could occur without being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0" w:after="0"/>
        <w:jc w:val="left"/>
        <w:rPr>
          <w:rFonts w:ascii="Times New Roman;serif" w:hAnsi="Times New Roman;serif"/>
          <w:b w:val="false"/>
          <w:i/>
          <w:color w:val="252525"/>
          <w:sz w:val="20"/>
        </w:rPr>
      </w:pPr>
      <w:r>
        <w:rPr>
          <w:rFonts w:ascii="Times New Roman;serif" w:hAnsi="Times New Roman;serif"/>
          <w:b w:val="false"/>
          <w:i/>
          <w:color w:val="252525"/>
          <w:sz w:val="20"/>
        </w:rPr>
        <w:t>Cybersecurity Risk Management and Strategy</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252525"/>
          <w:sz w:val="20"/>
        </w:rPr>
        <w:t>As part of the Company’s overall risk management, the Company has adopted processes designed to assess, identify and manage material risks from cybersecurity threats. Our program has been designed and evaluated based on the National Institute of Standards and Technology Cybersecurity Framework (</w:t>
      </w:r>
      <w:r>
        <w:rPr>
          <w:color w:val="000000"/>
        </w:rPr>
        <w:t>“</w:t>
      </w:r>
      <w:r>
        <w:rPr>
          <w:rFonts w:ascii="Times New Roman;serif" w:hAnsi="Times New Roman;serif"/>
          <w:b w:val="false"/>
          <w:color w:val="252525"/>
          <w:sz w:val="20"/>
        </w:rPr>
        <w:t>NIST CSF</w:t>
      </w:r>
      <w:r>
        <w:rPr>
          <w:color w:val="000000"/>
        </w:rPr>
        <w:t>”</w:t>
      </w:r>
      <w:r>
        <w:rPr>
          <w:rFonts w:ascii="Times New Roman;serif" w:hAnsi="Times New Roman;serif"/>
          <w:b w:val="false"/>
          <w:color w:val="252525"/>
          <w:sz w:val="20"/>
        </w:rPr>
        <w:t xml:space="preserve">). This does not imply that we meet any particular technical standards, specifications, or requirements, only that we use NIST CSF as a guide to identify, assess, and manage cybersecurity risks relevant to our business. The cybersecurity risk management program includes, among other things, processes to manage risks associated with third party service providers, regular review and testing of the Company’s cybersecurity practices through audits, internal assessments and tabletop exercises, and mandatory annual cybersecurity awareness training for all employees. In addition,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252525"/>
          <w:sz w:val="20"/>
        </w:rPr>
      </w:pPr>
      <w:r>
        <w:rPr>
          <w:rFonts w:ascii="Times New Roman;serif" w:hAnsi="Times New Roman;serif"/>
          <w:b w:val="false"/>
          <w:color w:val="252525"/>
          <w:sz w:val="20"/>
        </w:rPr>
        <w:t xml:space="preserve">adopted an incident response plan establishing the processes for responding to any cybersecurity incident. The Company periodically engages third party cybersecurity firms to perform maturity assessments of our cybersecurity risk management program, the results of which are reported to the Board. </w:t>
      </w:r>
    </w:p>
    <w:p>
      <w:pPr>
        <w:pStyle w:val="TextBody"/>
        <w:bidi w:val="0"/>
        <w:spacing w:lineRule="auto" w:line="288" w:before="0" w:after="0"/>
        <w:jc w:val="left"/>
        <w:rPr>
          <w:rFonts w:ascii="Times New Roman;serif" w:hAnsi="Times New Roman;serif"/>
          <w:b w:val="false"/>
          <w:color w:val="252525"/>
          <w:sz w:val="20"/>
        </w:rPr>
      </w:pPr>
      <w:r>
        <w:rPr>
          <w:rFonts w:ascii="Times New Roman;serif" w:hAnsi="Times New Roman;serif"/>
          <w:b w:val="false"/>
          <w:color w:val="252525"/>
          <w:sz w:val="20"/>
        </w:rPr>
        <w:t>We have experienced cybersecurity attacks and incidents in the past and could in the future experience similar attacks. To date, no cybersecurity incident or attack, or any risk from cybersecurity threats, has materially affected or has been determined to be reasonably likely to materially affect the Company or our business strategy,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252525"/>
          <w:sz w:val="20"/>
        </w:rPr>
      </w:pPr>
      <w:r>
        <w:rPr>
          <w:rFonts w:ascii="Times New Roman;serif" w:hAnsi="Times New Roman;serif"/>
          <w:b w:val="false"/>
          <w:i/>
          <w:color w:val="252525"/>
          <w:sz w:val="20"/>
        </w:rPr>
        <w:t>Cybersecurity Governance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252525"/>
          <w:sz w:val="20"/>
        </w:rPr>
      </w:pPr>
      <w:r>
        <w:rPr>
          <w:rFonts w:ascii="Times New Roman;serif" w:hAnsi="Times New Roman;serif"/>
          <w:b w:val="false"/>
          <w:color w:val="252525"/>
          <w:sz w:val="20"/>
        </w:rPr>
        <w:t>Our Board oversees the Company’s general risk management processes, and with respect to cybersecurity risks the oversight is performed primarily through the Audit Committee of the Board, which is briefed at least quarterly on cybersecurity threats, the results of periodic assessment and reviews of the Company’s cybersecurity programs, and cybersecurity developments affecting companies generally. Our incident response plan provides for prompt notice to the Board of any material cybersecurity incident.</w:t>
      </w:r>
    </w:p>
    <w:p>
      <w:pPr>
        <w:pStyle w:val="TextBody"/>
        <w:bidi w:val="0"/>
        <w:spacing w:lineRule="auto" w:line="288" w:before="0" w:after="180"/>
        <w:jc w:val="left"/>
        <w:rPr>
          <w:rFonts w:ascii="Times New Roman;serif" w:hAnsi="Times New Roman;serif"/>
          <w:b w:val="false"/>
          <w:color w:val="252525"/>
          <w:sz w:val="20"/>
        </w:rPr>
      </w:pPr>
      <w:r>
        <w:rPr>
          <w:rFonts w:ascii="Times New Roman;serif" w:hAnsi="Times New Roman;serif"/>
          <w:b w:val="false"/>
          <w:color w:val="252525"/>
          <w:sz w:val="20"/>
        </w:rPr>
        <w:t xml:space="preserve">Our cybersecurity program is overseen by our head of cybersecurity, with guidance from our Chief Technical Officer. Our head of cybersecurity has more than ten years of experience managing cybersecurity matters, holds an undergraduate degree in information systems with a focus on information security, and holds numerous certificates across the cybersecurity landscape. Our Chief Technical Officer is responsible for providing the Audit Committee with quarterly updates on cybersecurity risks and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2. </w:t>
      </w:r>
      <w:r>
        <w:rPr>
          <w:rFonts w:ascii="Times New Roman;serif" w:hAnsi="Times New Roman;serif"/>
          <w:b/>
          <w:i/>
          <w:color w:val="000000"/>
          <w:sz w:val="20"/>
        </w:rPr>
        <w:t>Properties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At September 30, 2025, we maintained branch offices, warehouses, sales facilities and administrative offices at 174 locations. The majority of our facilities are leased. We lease our executive office located in Greenwich, Connecticut and our corporate office located in Sugar Land, Texas. We believe that our properties are adequate for our current needs and that suitable additional or replacement space will be available as required. For a breakdown of our offices by segment, see Item 1. “</w:t>
      </w:r>
      <w:r>
        <w:rPr>
          <w:rFonts w:ascii="Times New Roman;serif" w:hAnsi="Times New Roman;serif"/>
          <w:b w:val="false"/>
          <w:i/>
          <w:color w:val="000000"/>
          <w:sz w:val="20"/>
        </w:rPr>
        <w:t>Business —Operating Segments</w:t>
      </w:r>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further information regarding legal proceedings, see Note 19, </w:t>
      </w:r>
      <w:r>
        <w:rPr>
          <w:color w:val="000000"/>
        </w:rPr>
        <w:t>“</w:t>
      </w:r>
      <w:r>
        <w:rPr>
          <w:rFonts w:ascii="Times New Roman;serif" w:hAnsi="Times New Roman;serif"/>
          <w:b w:val="false"/>
          <w:color w:val="000000"/>
          <w:sz w:val="20"/>
        </w:rPr>
        <w:t xml:space="preserve">Commitments and Contingencies — </w:t>
      </w: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in the notes to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Nasdaq Global Market under the ticker symbol “IESC.”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November 17, 2025, the closing market price of our common stock was $359.63 per share and there were approximately 266 holders of record.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dividends on our common stock. We intend to retain any future earnings and do not expect to pay cash dividends in the foreseeable future.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Repurchase Program</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On July 31, 2024, the Board authorized a $200 million stock repurchase program. </w:t>
      </w:r>
      <w:r>
        <w:rPr>
          <w:rFonts w:ascii="Times New Roman;serif" w:hAnsi="Times New Roman;serif"/>
          <w:b w:val="false"/>
          <w:color w:val="000000"/>
          <w:sz w:val="20"/>
        </w:rPr>
        <w:t>S</w:t>
      </w:r>
      <w:r>
        <w:rPr>
          <w:rFonts w:ascii="Times New Roman;serif" w:hAnsi="Times New Roman;serif"/>
          <w:b w:val="false"/>
          <w:color w:val="000000"/>
          <w:sz w:val="20"/>
          <w:shd w:fill="FFFFFF" w:val="clear"/>
        </w:rPr>
        <w:t xml:space="preserve">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we repurchased </w:t>
      </w:r>
      <w:r>
        <w:rPr>
          <w:rFonts w:ascii="Times New Roman;serif" w:hAnsi="Times New Roman;serif"/>
          <w:b w:val="false"/>
          <w:color w:val="000000"/>
          <w:sz w:val="20"/>
        </w:rPr>
        <w:t>173,262</w:t>
      </w:r>
      <w:r>
        <w:rPr>
          <w:color w:val="000000"/>
          <w:shd w:fill="FFFFFF" w:val="clear"/>
        </w:rPr>
        <w:t xml:space="preserve"> </w:t>
      </w:r>
      <w:r>
        <w:rPr>
          <w:rFonts w:ascii="Times New Roman;serif" w:hAnsi="Times New Roman;serif"/>
          <w:b w:val="false"/>
          <w:color w:val="000000"/>
          <w:sz w:val="20"/>
          <w:shd w:fill="FFFFFF" w:val="clear"/>
        </w:rPr>
        <w:t xml:space="preserve">shares of common stock at an average price of </w:t>
      </w:r>
      <w:r>
        <w:rPr>
          <w:rFonts w:ascii="Times New Roman;serif" w:hAnsi="Times New Roman;serif"/>
          <w:b w:val="false"/>
          <w:color w:val="000000"/>
          <w:sz w:val="20"/>
        </w:rPr>
        <w:t>$174.25</w:t>
      </w:r>
      <w:r>
        <w:rPr>
          <w:color w:val="000000"/>
          <w:shd w:fill="FFFFFF" w:val="clear"/>
        </w:rPr>
        <w:t xml:space="preserve"> </w:t>
      </w:r>
      <w:r>
        <w:rPr>
          <w:rFonts w:ascii="Times New Roman;serif" w:hAnsi="Times New Roman;serif"/>
          <w:b w:val="false"/>
          <w:color w:val="000000"/>
          <w:sz w:val="20"/>
          <w:shd w:fill="FFFFFF" w:val="clear"/>
        </w:rPr>
        <w:t xml:space="preserve">per share for a total aggregate purchase price of </w:t>
      </w:r>
      <w:r>
        <w:rPr>
          <w:rFonts w:ascii="Times New Roman;serif" w:hAnsi="Times New Roman;serif"/>
          <w:b w:val="false"/>
          <w:color w:val="000000"/>
          <w:sz w:val="20"/>
        </w:rPr>
        <w:t>$30.2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Company had $168.0 million remaining under its stock repurchase authorization at September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presents information with respect to purchases of common stock by the Company during the three months ended September 30,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860"/>
        <w:gridCol w:w="448"/>
        <w:gridCol w:w="452"/>
        <w:gridCol w:w="487"/>
        <w:gridCol w:w="487"/>
        <w:gridCol w:w="489"/>
        <w:gridCol w:w="410"/>
        <w:gridCol w:w="410"/>
        <w:gridCol w:w="411"/>
        <w:gridCol w:w="798"/>
        <w:gridCol w:w="798"/>
        <w:gridCol w:w="800"/>
        <w:gridCol w:w="455"/>
        <w:gridCol w:w="2562"/>
        <w:gridCol w:w="338"/>
      </w:tblGrid>
      <w:tr>
        <w:trPr/>
        <w:tc>
          <w:tcPr>
            <w:tcW w:w="8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Shares Purchased as Part of a Publicly Announced Plan </w:t>
            </w:r>
          </w:p>
        </w:tc>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Dollar Value of Shares That May Yet Be Purchased Under the Publicly Announced Plan</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2396" w:type="dxa"/>
            <w:gridSpan w:val="3"/>
            <w:tcBorders/>
            <w:vAlign w:val="center"/>
          </w:tcPr>
          <w:p>
            <w:pPr>
              <w:pStyle w:val="TableContents"/>
              <w:bidi w:val="0"/>
              <w:spacing w:before="0" w:after="283"/>
              <w:jc w:val="left"/>
              <w:rPr>
                <w:sz w:val="4"/>
                <w:szCs w:val="4"/>
              </w:rPr>
            </w:pPr>
            <w:r>
              <w:rPr>
                <w:sz w:val="4"/>
                <w:szCs w:val="4"/>
              </w:rPr>
            </w:r>
          </w:p>
        </w:tc>
        <w:tc>
          <w:tcPr>
            <w:tcW w:w="335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Five-Year Stock Performance Graph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graph below compares the cumulative five year total return provided shareholders on IES Holdings, Inc.'s common stock relative to the cumulative total returns of (i) the Russell 2000 index and (ii) a customized peer group of five companies that includes Comfort Systems USA Inc., MYR Group Inc., Sterling Infrastructure, Inc., Primoris and Installed Building Products, Inc. An investment of $100 (with reinvestment of all dividends) is assumed to have been made in our common stock, in the Russell 2000 index, and in the peer group on September 30, 2020, and its relative performance is tracked through September 30, 2025.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Comparison of Five Year Cumulative Total Return*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IES Holdings, Inc., the Russell 2000 Index, and a Peer Group</w:t>
      </w:r>
    </w:p>
    <w:p>
      <w:pPr>
        <w:pStyle w:val="TextBody"/>
        <w:bidi w:val="0"/>
        <w:spacing w:before="0" w:after="0"/>
        <w:jc w:val="center"/>
        <w:rPr/>
      </w:pPr>
      <w:r>
        <w:rPr/>
        <w:drawing>
          <wp:inline distT="0" distB="0" distL="0" distR="0">
            <wp:extent cx="6115050" cy="3848100"/>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6115050" cy="3848100"/>
                    </a:xfrm>
                    <a:prstGeom prst="rect">
                      <a:avLst/>
                    </a:prstGeom>
                  </pic:spPr>
                </pic:pic>
              </a:graphicData>
            </a:graphic>
          </wp:inline>
        </w:drawing>
      </w:r>
      <w:bookmarkStart w:id="1" w:name="i-2"/>
      <w:bookmarkEnd w:id="1"/>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*$100 invested on September 30, 2020 in stock or index, including reinvestment of dividends. </w:t>
      </w:r>
    </w:p>
    <w:p>
      <w:pPr>
        <w:pStyle w:val="TextBody"/>
        <w:bidi w:val="0"/>
        <w:spacing w:before="0" w:after="0"/>
        <w:jc w:val="center"/>
        <w:rPr/>
      </w:pPr>
      <w:r>
        <w:rPr/>
      </w:r>
    </w:p>
    <w:tbl>
      <w:tblPr>
        <w:tblW w:w="9665" w:type="dxa"/>
        <w:jc w:val="center"/>
        <w:tblInd w:w="0" w:type="dxa"/>
        <w:tblLayout w:type="fixed"/>
        <w:tblCellMar>
          <w:top w:w="28" w:type="dxa"/>
          <w:left w:w="28" w:type="dxa"/>
          <w:bottom w:w="28" w:type="dxa"/>
          <w:right w:w="28" w:type="dxa"/>
        </w:tblCellMar>
      </w:tblPr>
      <w:tblGrid>
        <w:gridCol w:w="576"/>
        <w:gridCol w:w="505"/>
        <w:gridCol w:w="5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71"/>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both"/>
        <w:rPr/>
      </w:pPr>
      <w:r>
        <w:rPr>
          <w:rFonts w:ascii="Times New Roman;serif" w:hAnsi="Times New Roman;serif"/>
          <w:b/>
          <w:color w:val="000000"/>
          <w:sz w:val="20"/>
        </w:rPr>
        <w:t xml:space="preserve">Item 7.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ind w:left="0" w:right="0" w:hanging="126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discussion and analysis should be read in conjunction with our Consolidated Financial Statements and the notes thereto, set forth in Item 8.</w:t>
      </w:r>
      <w:r>
        <w:rPr>
          <w:color w:val="000000"/>
        </w:rPr>
        <w:t>“</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of this Annual Report on Form 10-K. For additional information, see </w:t>
      </w:r>
      <w:r>
        <w:rPr>
          <w:color w:val="000000"/>
        </w:rPr>
        <w:t>“</w:t>
      </w:r>
      <w:r>
        <w:rPr>
          <w:rFonts w:ascii="Times New Roman;serif" w:hAnsi="Times New Roman;serif"/>
          <w:b w:val="false"/>
          <w:i/>
          <w:color w:val="000000"/>
          <w:sz w:val="20"/>
        </w:rPr>
        <w:t>Disclosure Regarding Forward Looking Statements”</w:t>
      </w:r>
      <w:r>
        <w:rPr>
          <w:color w:val="000000"/>
        </w:rPr>
        <w:t xml:space="preserve"> </w:t>
      </w:r>
      <w:r>
        <w:rPr>
          <w:rFonts w:ascii="Times New Roman;serif" w:hAnsi="Times New Roman;serif"/>
          <w:b w:val="false"/>
          <w:color w:val="000000"/>
          <w:sz w:val="20"/>
        </w:rPr>
        <w:t>in Part I of this Annual Report on Form 10-K.</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Please refer to Item 1.</w:t>
      </w:r>
      <w:r>
        <w:rPr>
          <w:color w:val="000000"/>
        </w:rPr>
        <w:t xml:space="preserve"> “</w:t>
      </w:r>
      <w:r>
        <w:rPr>
          <w:rFonts w:ascii="Times New Roman;serif" w:hAnsi="Times New Roman;serif"/>
          <w:b w:val="false"/>
          <w:i/>
          <w:color w:val="000000"/>
          <w:sz w:val="20"/>
        </w:rPr>
        <w:t xml:space="preserve">Business” </w:t>
      </w:r>
      <w:r>
        <w:rPr>
          <w:rFonts w:ascii="Times New Roman;serif" w:hAnsi="Times New Roman;serif"/>
          <w:b w:val="false"/>
          <w:color w:val="000000"/>
          <w:sz w:val="20"/>
        </w:rPr>
        <w:t xml:space="preserve">of this Annual Report on Form 10-K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Industry Trends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Our performance is affected by a number of trends that drive the demand for our services. In particular, the markets in which we operate are exposed to many regional and national trends such as the need for mission critical facilities as a result of technology-driven advancements, capital spending on data centers, distribution centers, and high-tech manufacturing facilities, the demand for single and multi-family housing, demand for back-up power,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an increasing demand for data storage, (ii) population growth, which will increase the need for commercial and residential facilities, (iii) aging public infrastructure, which must be replaced or repaired, and (iv) increased emphasis on environmental and energy efficiency, which may lead to increased public and private spending. However, there can be no assurance that we will not experience a decrease in demand for our services due to economic, technological or other factors beyond our control, including interest rate increases, increases in the price of copper, aluminum, steel, fuel, electrical components, certain plastics, and other commodity prices and other economic factors, which may reduce the demand for housing in the regions where our Residential division operates, and may impact levels of construction. For further discussion of the industries in which we operate, please see Item 1. “</w:t>
      </w:r>
      <w:r>
        <w:rPr>
          <w:rFonts w:ascii="Times New Roman;serif" w:hAnsi="Times New Roman;serif"/>
          <w:b w:val="false"/>
          <w:i/>
          <w:color w:val="000000"/>
          <w:sz w:val="20"/>
        </w:rPr>
        <w:t>Business - Operating Segments</w:t>
      </w:r>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Outlook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2025 as compared to fiscal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segments each have their own unique set of factors influencing demand for our services. Heading into fiscal 2026, backlog across our business segments as a whole remains at record levels, reflecting strong demand in key end markets. Demand with respect to data centers, a key end market served by our Communications, Infrastructure Solutions, and Commercial &amp; Industrial segments, remains particularly strong. However, availability of labor and capacity could constrain the rate at which we are able to grow this business. In our Residential business, we expect the challenges that affected demand for our services in the single-family market throughout fiscal 2025 will continue to affect us going into fiscal 2026, as housing affordability continues to be negatively impacted by elevated mortgage rates and the impact of inflation on materials and labor costs. In addition, consumer expectations about future interest rate reductions may cause some home buyers to delay purchases in anticipation of lower mortgage costs. In the multi-family business, prolonged elevated borrowing costs for project owners have resulted in a reduction in backlog at September 30, 2025 compared with September 30, 2024. This is expected to result in lower multi-family revenues in fiscal 2026 as compared with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continue to grow our business, including through acquisitions and the funding of working capital, we may require a significant amount of cash. Our ability to generate or otherwise access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12 months. We expect our capital expenditures will range from $110 million to $130 million for the year ending on September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as well as the results of acquired businesses from the dates acquired. </w:t>
      </w:r>
    </w:p>
    <w:tbl>
      <w:tblPr>
        <w:tblW w:w="10297" w:type="dxa"/>
        <w:jc w:val="left"/>
        <w:tblInd w:w="0" w:type="dxa"/>
        <w:tblLayout w:type="fixed"/>
        <w:tblCellMar>
          <w:top w:w="28" w:type="dxa"/>
          <w:left w:w="28" w:type="dxa"/>
          <w:bottom w:w="28" w:type="dxa"/>
          <w:right w:w="28" w:type="dxa"/>
        </w:tblCellMar>
      </w:tblPr>
      <w:tblGrid>
        <w:gridCol w:w="124"/>
        <w:gridCol w:w="109"/>
        <w:gridCol w:w="109"/>
        <w:gridCol w:w="150"/>
        <w:gridCol w:w="150"/>
        <w:gridCol w:w="150"/>
        <w:gridCol w:w="457"/>
        <w:gridCol w:w="457"/>
        <w:gridCol w:w="362"/>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2025 Compared to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year ended September 30, 2025, were $487.1 million higher than for the year ended September 30, 2024, an increase of 16.9%, with increases in our Communications, Infrastructure Solutions and Commercial &amp; Industrial operating segments, partly offset by a decrease in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overall gross profit percentage increased to 25.5% during the year September 30, 2025, as compared to 24.2% during the year ended September 30, 2024. Gross profit as a percentage of revenue increased at our Communications, Infrastructure Solutions and Commercial &amp; Industrial operating segments and decreased at our Residential segment. See further discussion below of changes in gross margin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include costs not directly associated with performing work for our customers. These costs consist primarily of compensation and benefits related to corporate, business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2025, our selling, general and administrative expenses were $475.0 million, an increase of $78.3 million, or 19.7%, over the year ended September 30, 2024, driven by increased personnel costs and higher incentive compensation across our business as a result of higher earnings, as well as continued investment in the scalability of the business. Selling, general and administrative expenses as a percentage of revenue were 14.1% for the year ended September 30, 2025 compared to 13.8% for the year ended September 30,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2024 Compared to 2023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year ended September 30, 2024, were $507.1 million higher than for the year ended September 30, 2023, an increase of 21.3%, with increases at all of our operating segments. See further discussion below of changes in revenues for our individual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overall gross profit percentage increased to 24.2% during the year September 30, 2024, as compared to 18.7% during the year ended September 30, 2023. Gross profit as a percentage of revenue increased at all four of our operating segments. See further discussion below of changes in gross margin for our individual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2024, our selling, general and administrative expenses were $396.7 million, an increase of $98.1 million, or 32.8%, over the year ended September 30, 2023, driven by increased personnel costs, primarily at our Residential operating segment, and higher incentive compensation across our business as a result of higher earnings. Selling, general and administrative expenses as a percentage of revenue increased to 13.8% for the year ended September 30, 2024 from 12.6% for the year ended September 30,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results for the year ended September 30, 2023 included a pretax gain of $13.0 million from the sale of STR Mechanical, LLC (“STR”), which previously operated as part of our Commercial &amp; Industrial segment, on October 7,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Communications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Compared to 2024</w:t>
      </w:r>
    </w:p>
    <w:tbl>
      <w:tblPr>
        <w:tblW w:w="8977" w:type="dxa"/>
        <w:jc w:val="left"/>
        <w:tblInd w:w="0" w:type="dxa"/>
        <w:tblLayout w:type="fixed"/>
        <w:tblCellMar>
          <w:top w:w="28" w:type="dxa"/>
          <w:left w:w="28" w:type="dxa"/>
          <w:bottom w:w="28" w:type="dxa"/>
          <w:right w:w="28" w:type="dxa"/>
        </w:tblCellMar>
      </w:tblPr>
      <w:tblGrid>
        <w:gridCol w:w="1353"/>
        <w:gridCol w:w="1187"/>
        <w:gridCol w:w="1195"/>
        <w:gridCol w:w="211"/>
        <w:gridCol w:w="97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Our Communications segment’s revenues increased by $364.2 million, or 46.9%, during the year ended September 30, 2025, compared to the year ended September 30, 2024. This increase primarily resulted from increased demand from our data center customers, coupled with continued strong demand from high-tech manufacturing and e-commerce distribution center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Communications segment’s gross profit during the year ended September 30, 2025, increased $112.0 million, or 73.4%, as compared to the year ended September 30, 2024. Gross profit as a percentage of revenue increased from 19.7% for the year ended September 30, 2024 to 23.2% for the year ended September 30, 2025. The increase in gross profit and gross profit as a percentage of revenue primarily reflects increased volume, successful project execution, favorable contract pricing and the impact of a more disciplined bidding process.</w:t>
      </w:r>
    </w:p>
    <w:p>
      <w:pPr>
        <w:pStyle w:val="TextBody"/>
        <w:bidi w:val="0"/>
        <w:spacing w:before="0" w:after="0"/>
        <w:jc w:val="both"/>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Communications segment’s selling, general and administrative expenses increased $32.4 million, or 49.3%, during the year ended September 30, 2025, as compared to the year ended September 30, 2024. The increase is a result of higher personnel costs including higher incentive compensation as a result of higher earnings, as well as continued investment in an organizational structure that will enhance the scalability of our business. Selling, general and administrative expenses as a percentage of revenue in the Communications segment were 8.6% during the year ended September 30, 2025, compared to 8.5% for the year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2024 Compared to 2023 </w:t>
      </w:r>
    </w:p>
    <w:tbl>
      <w:tblPr>
        <w:tblW w:w="8827" w:type="dxa"/>
        <w:jc w:val="left"/>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Our Communications segment’s revenues increased by $175.7 million, or 29.2%, during the year ended September 30, 2024, compared to the year ended September 30, 2023. This increase primarily resulted from increased demand from our data center, high-tech manufacturing and e-commerce distribution center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Communications segment’s gross profit during the year ended September 30, 2024, increased $46.8 million, or 44.2%, as compared to the year ended September 30, 2023. Gross profit as a percentage of revenue increased from 17.6% for the year ended September 30, 2023 to 19.7% for the year ended September 30, 2024. The increase in gross profit and gross profit as a percentage of revenue primarily reflects increased volume, successful project execution, favorable contract pricing and the impact of a more disciplined bidding process.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Communications segment’s selling, general and administrative expenses increased $11.4 million, or 21.0%, during the year ended September 30, 2024, as compared to the year ended September 30, 2023. The increase is a result of higher personnel costs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 in the Communications segment were 8.5% during the year ended September 30, 2024, compared to 9.0% for the year ended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Residential</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Compared to 2024</w:t>
      </w:r>
    </w:p>
    <w:tbl>
      <w:tblPr>
        <w:tblW w:w="9127" w:type="dxa"/>
        <w:jc w:val="left"/>
        <w:tblInd w:w="0" w:type="dxa"/>
        <w:tblLayout w:type="fixed"/>
        <w:tblCellMar>
          <w:top w:w="28" w:type="dxa"/>
          <w:left w:w="28" w:type="dxa"/>
          <w:bottom w:w="28" w:type="dxa"/>
          <w:right w:w="28" w:type="dxa"/>
        </w:tblCellMar>
      </w:tblPr>
      <w:tblGrid>
        <w:gridCol w:w="1353"/>
        <w:gridCol w:w="1187"/>
        <w:gridCol w:w="1195"/>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Our Residential segment’s revenues decreased by $84.5 million, or 6.1%, during the year ended September 30, 2025, as compared to the year ended September 30, 2024. Revenue in our single-family electrical business decreased by $66.7 million, resulting from a decrease in new housing starts in most of our key markets. Consumer demand in the single-family housing market was impacted by concerns over housing affordability and general economic conditions, leading to a decline in construction volumes and pressure on pricing for the year ended September 30, 2025. Multi-family and other revenue decreased by $18.6 million, as the pace of new multi-family projects has been affected by prolonged elevated interest rates. Revenue in our plumbing and HVAC business decreased by $0.9 million, as the impact of a decrease in housing starts was largely offset by expansion of these trades into new markets.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 xml:space="preserve">During the year ended September 30, 2025, our Residential segment gross profit decreased by $28.0 million, or 7.7%, as compared to the year ended September 30, 2024, and gross margin as a percentage of revenue decreased to 25.8% during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ended September 30, 2025 from 26.2% for the year ended September 30, 2024. The decrease in profitability was driven primarily by a decline in construction volumes as discussed above and pricing pressures as single-family home builders reduced their pricing in response to weaker demand, and in turn requested price concessions from their suppliers.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Residential segment's selling, general and administrative expenses increased by $4.4 million, or 1.9%, during the year ended September 30, 2025, compared to the year ended September 30, 2024. The increase was driven primarily increased investment in technology and other resources to support future growth of the business, partly offset by reduced incentive profit sharing for division management resulting from lower earnings. Selling, general and administrative expenses as a percentage of revenue in the Residential segment increased to 17.8% during the year ended September 30, 2025, from 16.4% during the year ended September 30, 2024 as a decline in overall revenues as discussed above resulted in less absorption of fixed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2024 Compared to 2023</w:t>
      </w:r>
    </w:p>
    <w:tbl>
      <w:tblPr>
        <w:tblW w:w="9127" w:type="dxa"/>
        <w:jc w:val="left"/>
        <w:tblInd w:w="0" w:type="dxa"/>
        <w:tblLayout w:type="fixed"/>
        <w:tblCellMar>
          <w:top w:w="28" w:type="dxa"/>
          <w:left w:w="28" w:type="dxa"/>
          <w:bottom w:w="28" w:type="dxa"/>
          <w:right w:w="28" w:type="dxa"/>
        </w:tblCellMar>
      </w:tblPr>
      <w:tblGrid>
        <w:gridCol w:w="1353"/>
        <w:gridCol w:w="1187"/>
        <w:gridCol w:w="1195"/>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Our Residential segment’s revenues increased by $109.3 million, or 8.5%, during the year ended September 30, 2024, as compared to the year ended September 30, 2023. The increase was primarily driven by an $81.0 million increase in revenues from our plumbing and HVAC business as we expanded our offerings during the year ended September 30, 2024. Our single-family electrical business continued to have strong demand as revenues increased by $14.9 million, while multi-family and other revenue increased by $13.4 million resulting from continued strong demand and successful execution of existing backlog, partially offset by a reduction in activity in certain areas as we became more selective in our bidding process.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During the year ended September 30, 2024, our Residential segment gross profit increased by $111.4 million, or 44.0%, as compared to the year ended September 30, 2023, and gross margin as a percentage of revenue increased to 26.2% during the year ended September 30, 2024 from 19.8% for the year ended September 30, 2023. The increase in profitability was driven primarily by improved project execution in our multi-family business, as well as the benefit of improved procurement and other processes implemented as part of the reorganization of the segment in fiscal 2023.</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 xml:space="preserve">Our Residential segment's selling, general and administrative expenses increased by $58.6 million, or 34.5%, during the year ended September 30, 2024, compared to the year ended September 30, 2023. Selling, general and administrative expenses as a percentage of revenue in the Residential segment increased to 16.4% during the year ended September 30, 2024, from 13.3% during the year ended September 30, 2023. The increase was driven primarily by higher personnel costs in connection with a reorganization of the segment's management structure in fiscal 2023 and increased incentive profit sharing for division management resulting from higher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Infrastructure Solutions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2025 Compared to 2024</w:t>
      </w:r>
    </w:p>
    <w:tbl>
      <w:tblPr>
        <w:tblW w:w="8827" w:type="dxa"/>
        <w:jc w:val="left"/>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Revenues in our Infrastructure Solutions segment increased by $147.6 million, or 42.0% during the year ended September 30, 2025 compared to the year ended September 30, 2024. The increase in revenues was driven primarily by continued strong demand and expanded capacity in our custom engineered solutions businesses. Acquisitions completed during the fiscal year contributed revenues of $15.1 million in the year ended September 30, 2025. In addition, the year ended September 30, 2025 included a full year of revenue contribution from Greiner Industries, Inc. (“Greiner”), which was acquired on April 1, 2024, compared to six months of revenue contribution in the year ended September 30,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xml:space="preserve">. Our Infrastructure Solutions segment’s gross profit for the year ended September 30, 2025 increased by $66.2 million, or 62.8%, as compared to the year ended September 30, 2024, primarily resulting from higher volumes, improved pricing and operating efficiencies at our custom engineered solutions manufacturing facilities as well as the impact of investments to increase capacity we have made over the last several years. Gross profit as a percent of revenue increased to 34.4% for the year ended September 30, 2025 compared to 30.0% for the year ended September 30,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Infrastructure Solutions segment’s selling, general and administrative expenses during the year ended September 30, 2025, increased $14.4 million, or 38.6%, compared to the year ended September 30, 2024, primarily as a result of increased employee compensation cost to support growth in the business, in part due to acquisitions completed during fiscal 2025, and increased incentive profit sharing resulting from higher earnings. In addition, the year ended September 30, 2025 included a full year of expenses related to Greiner compared to six months of expenses in the year ended September 30, 2024. Selling, general and administrative expenses as a percentage of revenue decreased from 10.7% for the year ended September 30, 2024, to 10.4% for the year ended September 30, 2025 as we benefited from the scale of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2024 Compared to 2023</w:t>
      </w:r>
    </w:p>
    <w:tbl>
      <w:tblPr>
        <w:tblW w:w="8827" w:type="dxa"/>
        <w:jc w:val="left"/>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Revenues in our Infrastructure Solutions segment increased by $133.7 million, or 61.5% during the year ended September 30, 2024 compared to the year ended September 30, 2023. The increase in revenues was driven primarily by continued strong demand in our custom engineered solutions manufacturing businesses. We also acquired Greiner on April 1, 2024, which contributed $34.0 million in revenue in the year ended September 30,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xml:space="preserve">. Our Infrastructure Solutions segment’s gross profit for the year ended September 30, 2024 increased by $50.9 million, or 93.5%, as compared to the year ended September 30, 2023, primarily resulting from higher volumes, improved pricing and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efficiencies at our custom engineered solutions manufacturing facilities as well as the impact of investments to increase capacity we have made over the last several years. Gross profit as a percent of revenue increased to 30.0% for the year ended September 30, 2024 compared to 25.1% for the year ended September 30, 2023.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Infrastructure Solutions segment’s selling, general and administrative expenses during the year ended September 30, 2024, increased $11.1 million, or 42.4%, compared to the year ended September 30, 2023, primarily as a result of increased employee compensation cost to support growth in the business, in part due to the acquisition of Greiner in April 2024, and increased incentive profit sharing resulting from higher earnings. Selling, general and administrative expenses as a percentage of revenue decreased from 12.1% for the year ended September 30, 2023, to 10.7% for the year ended September 30, 2024 as we benefited from the scale of our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Gain on Sale of Assets. </w:t>
      </w:r>
      <w:r>
        <w:rPr>
          <w:rFonts w:ascii="Times New Roman;serif" w:hAnsi="Times New Roman;serif"/>
          <w:b w:val="false"/>
          <w:color w:val="000000"/>
          <w:sz w:val="20"/>
        </w:rPr>
        <w:t>Our results for the year ended September 30, 2023 included a $1.0 million gain from the sale of a portion of the property on which one of our operating facilities is located. The sale of this excess land will have no impact on the operations of the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Commercial &amp; Industrial</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Compared to 2024</w:t>
      </w:r>
    </w:p>
    <w:tbl>
      <w:tblPr>
        <w:tblW w:w="8827" w:type="dxa"/>
        <w:jc w:val="left"/>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Revenues in our Commercial &amp; Industrial segment increased $59.8 million, or 16.2%, during the year ended September 30, 2025, compared to the year ended September 30, 2024. The increase was primarily driven by increased activity in the education and healthcare end markets, continued strong demand and successful execution in the data center end market, and the expansion of one of our operations in the Midwest market.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year ended September 30, 2025 increased by $12.7 million, or 17.1%, as compared to the year ended September 30, 2024. Gross profit as a percentage of revenue was 20.3% for the year ended September 30, 2025 compared to 20.2% for the year ended September 30, 2024. Segment results in the year ended September 30, 2025 and 2024 benefited from favorable project execution and additions to the original scope of work at favorable margins on large data center projects.</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Commercial &amp; Industrial segment’s selling, general and administrative expenses during the year ended September 30, 2025 increased $6.8 million, or 20.6%, compared to the year ended September 30, 2024. The increase was driven primarily by increased employee compensation cost, including higher incentive compensation as a result of higher earnings. As a percentage of r</w:t>
      </w:r>
      <w:r>
        <w:rPr>
          <w:rFonts w:ascii="Times New Roman;serif" w:hAnsi="Times New Roman;serif"/>
          <w:b w:val="false"/>
          <w:color w:val="000000"/>
          <w:sz w:val="20"/>
          <w:shd w:fill="FFFFFF" w:val="clear"/>
        </w:rPr>
        <w:t>evenue, s</w:t>
      </w:r>
      <w:r>
        <w:rPr>
          <w:rFonts w:ascii="Times New Roman;serif" w:hAnsi="Times New Roman;serif"/>
          <w:b w:val="false"/>
          <w:color w:val="000000"/>
          <w:sz w:val="20"/>
        </w:rPr>
        <w:t xml:space="preserve">elling, general and administrative expenses increased from 8.9% during the year September 30, 2024 to 9.3% during the year ended September 30, 2025.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2024 Compared to 2023 </w:t>
      </w:r>
    </w:p>
    <w:tbl>
      <w:tblPr>
        <w:tblW w:w="8827" w:type="dxa"/>
        <w:jc w:val="left"/>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Revenues in our Commercial &amp; Industrial segment increased $88.4 million, or 31.6%, during the year ended September 30, 2024, compared to the year ended September 30, 2023. The increase primarily relates to a large data center project.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year ended September 30, 2024 increased by $42.9 million, or 137.1%, as compared to the year ended September 30, 2023, and gross profit as a percentage of revenue increased from 11.2% for the year ended September 30, 2023 to 20.2% for the year ended September 30, 2024. Segment results in the year ended September 30, 2024 benefited from favorable project execution and additions to the original scope of work at favorable margins on the large data center project, improved project execution across the business, improving bid margins in certain markets, and a more selective bidding strategy implemented in the prior year.</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Our Commercial &amp; Industrial segment’s selling, general and administrative expenses during the year ended September 30, 2024 increased $7.7 million, or 30.5%, compared to the year ended September 30, 2023. The increase was driven primarily by increased employee compensation cost, including higher incentive compensation as a result of higher earnings. </w:t>
      </w:r>
      <w:r>
        <w:rPr>
          <w:rFonts w:ascii="Times New Roman;serif" w:hAnsi="Times New Roman;serif"/>
          <w:b w:val="false"/>
          <w:color w:val="000000"/>
          <w:sz w:val="20"/>
          <w:shd w:fill="FFFFFF" w:val="clear"/>
        </w:rPr>
        <w:t>Selling, general and administrative expenses as a percentage of revenue was</w:t>
      </w:r>
      <w:r>
        <w:rPr>
          <w:color w:val="000000"/>
        </w:rPr>
        <w:t xml:space="preserve"> </w:t>
      </w:r>
      <w:r>
        <w:rPr>
          <w:rFonts w:ascii="Times New Roman;serif" w:hAnsi="Times New Roman;serif"/>
          <w:b w:val="false"/>
          <w:color w:val="000000"/>
          <w:sz w:val="20"/>
        </w:rPr>
        <w:t xml:space="preserve">9.0% and 8.9%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years ended September 30, 2023 and 2024, respectively.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Gain on Sale of Assets</w:t>
      </w:r>
      <w:r>
        <w:rPr>
          <w:rFonts w:ascii="Times New Roman;serif" w:hAnsi="Times New Roman;serif"/>
          <w:b w:val="false"/>
          <w:color w:val="000000"/>
          <w:sz w:val="20"/>
        </w:rPr>
        <w:t>. As discussed above, our results for the year ended September 30, 2023 include a pretax gain on sale of $13.0 million from the sale of STR in October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AND OTHER EXPENSE, NET</w:t>
      </w:r>
    </w:p>
    <w:tbl>
      <w:tblPr>
        <w:tblW w:w="7467" w:type="dxa"/>
        <w:jc w:val="left"/>
        <w:tblInd w:w="0" w:type="dxa"/>
        <w:tblLayout w:type="fixed"/>
        <w:tblCellMar>
          <w:top w:w="28" w:type="dxa"/>
          <w:left w:w="28" w:type="dxa"/>
          <w:bottom w:w="28" w:type="dxa"/>
          <w:right w:w="28" w:type="dxa"/>
        </w:tblCellMar>
      </w:tblPr>
      <w:tblGrid>
        <w:gridCol w:w="1342"/>
        <w:gridCol w:w="1176"/>
        <w:gridCol w:w="1187"/>
        <w:gridCol w:w="211"/>
        <w:gridCol w:w="796"/>
        <w:gridCol w:w="109"/>
        <w:gridCol w:w="109"/>
        <w:gridCol w:w="109"/>
        <w:gridCol w:w="109"/>
        <w:gridCol w:w="211"/>
        <w:gridCol w:w="691"/>
        <w:gridCol w:w="109"/>
        <w:gridCol w:w="109"/>
        <w:gridCol w:w="109"/>
        <w:gridCol w:w="109"/>
        <w:gridCol w:w="211"/>
        <w:gridCol w:w="61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and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2025, we incurred interest expense of $1.8 million primarily comprised of interest expense on our finance lease agreements and fees on an average letter of credit balance of $5.5 million under our revolving credit facility and an average unused line of credit balance of $248.7 million. The increase in interest expense in the year ended September 30, 2025 compared to the year ended September 30, 2024 was primarily the result of a higher average unused line of credit balance compared to the prior year resulting from an increased maximum revolver amount under the amended credit agreement entered into on January 21, 2025 and increased amortization of capitalized debt issuance costs related to the new amended credit agreement. Total other income, net of $12.2 million in the year ended September 30, 2025 was primarily the result of interest income of $2.9 million and unrealized gains on investments in trading securities of $7.5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September 30, 2024, we incurred interest expense of $1.3 million primarily comprised of interest expense on our finance lease agreements and fees on an average letter of credit balance of $5.5 million under our revolving credit facility and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average unused line of credit balance of $144.5 million. The reduction in interest expense in the year ended September 30, 2024 compared to the year ended September 30, 2023 was a result of a decrease in average outstanding borrowings under our revolving credit facility, which had no outstanding balance during the year ended September 30, 2024. Total other income, net of $5.1 million in the year ended September 30, 2024 was primarily the result of interest income of $4.0 million and unrealized gains on investments in trading securities of $1.8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2023, we incurred interest expense of $3.0 million primarily comprised of interest expense on 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outstanding balance of $26.9 million under our revolving credit facility and on our finance lease agreements, in addition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fees on an average letter of credit balance of $4.7 million under our revolving credit facility and an average unused line of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of $117.8 million. Total other income, net of $1.8 million in the year ended September 30, 2023 was primarily the result of gains on investments in equity securities of $1.0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September 30, 2025, we recorded income tax expense of $96.8 million, which reflects a higher pretax income than in the year ended September 30, 2024, partially offset by $11.1 million of non-cash tax benefits from the recognition of previously unrecognized tax benefits in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September 30, 2024, we recorded income tax expense of $72.2 million, which reflects a higher pretax income than in the year ended September 30, 2023, partially offset by $5.5 million of non-cash tax benefits from the recognition of previously unrecognized tax benefits in fiscal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September 30, 2023, we recorded income tax expense of $38.8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2025, working capital exclusive of cash increased by $76.6 million from September 30, 2024, reflecting a $187.4 million increase in current assets excluding cash partially offset by a $110.9 million increase in current liabilities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2025, our current assets exclusive of cash increased to $958.3 million, as compared to $770.9 million as of September 30, 2024. The increase was primarily driven by a $92.5 million increase in accounts receivable including retainage due to higher overall volume of sales and the timing of customer billings and project execution at the end of the year. Marketable securities also increased by $69.6 million as a portion of our excess cash was invested in trading securities. In addition, costs and estimated earnings in excess of billings increased by $9.1 million, driven by the timing of contract billings, and inventory increased by $9.8 million primarily due to acquisitions completed during the year ended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2025, our total current liabilities increased by $110.9 million to $633.4 million, compared to $522.6 million as of September 30, 2024, driven by a $93.1 million increase in accounts payable and accrued expenses primarily as a result of increased activity and the timing of payments across all of our operating segments and a $17.8 million increase in contract billings in excess of costs and estimated earnings, which varies based on the timing of contract billings on projects on which revenue is recognized using the percentage of completion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will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bonding capacity currently provided by our sureties is adequate for our current operations and will be adequate for our operations for the foreseeable future. As of September 30, 2025, the estimated cost to complete our bonded projects was approximately $199.8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and cash equivalents of $127.2 million and $294.5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Revolving Credit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21, 2025, we entered into the Fourth Amended and Restated Credit Agreement (the “Amended Credit Agreement”). Pursuant to the Amended Credit Agreement, our maximum revolver amount increased from $150 million to $300 million, and the maturity date was extended from September 30, 2026 to January 21, 2030. In addition, the limitation on borrowings based on available collateral under the previous credit agreement was eliminated under the Amended Credit Agreement.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September 30, 2025,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left"/>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TextBody"/>
        <w:bidi w:val="0"/>
        <w:spacing w:before="0" w:after="0"/>
        <w:jc w:val="left"/>
        <w:rPr/>
      </w:pPr>
      <w:r>
        <w:rPr/>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for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if in the future our Consolidated Total Leverage Ratio is greater than 3.00:1.00, or our Consolidated Interest Coverage Ratio is less than 3.00:1.00,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$5.5 million in outstanding letters of credit and no outstanding borrowings under our revolving credit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invests in non-controlling positions in the debt or equity securities of other businesses. Our Board of Directors has approved an investment policy that, after taking into consideration the liquidity required to support and invest in the Company's operations, permits the Company to invest in marketable securities, including equities and fixed income securities that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 easily bought and sold on a public market, and non-marketable securities, including equity and fixed income investments in private companies as well as private investments in public companies, subject to size limits and required approvals for certain investments.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 provided net cash of $286.1 million during the year ended September 30, 2025, as compared to $234.4 million of net cash provided in the year ended September 30, 2024. The increase in operating cash flow resulted primarily from increased earnings partially offset by an increase in cash used in working capital during the year ended September 30, 2025 compared to the year ended September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 provided net cash of $234.4 million during the year ended September 30, 2024, as compared to $153.9 million of net cash provided in the year ended September 30, 2023. The increase in operating cash flow resulted primarily from increased earnings partially offset by an increase in cash used in working capital during the year ended September 30, 2024 compared to the year ended September 30, 2023.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$163.7 million for the year ended September 30, 2025, compared to $108.8 million of net cash used in investing activities in the year ended September 30, 2024. During the year ended September 30, 2025, we had capital expenditures of $67.3 million as we continued to invest in equipment to increase the manufacturing capacity of our Infrastructure Solutions segment's operations, warehouse capacity and equipment for our Communications segment primarily in support of our data center customers, and other capital expenditures to support the growth of our business. We also paid $52.4 million in conjunction with business combinations. Additionally, we paid $44.9 million to acquire a membership interest in Jett Texas Company LLC (“Jett”), an investment company, as part of the financing of Jett's investment in the CB&amp;I storage solutions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$108.8 million for the year ended September 30, 2024, compared to $2.8 million of net cash provided by investing activities in the year ended September 30, 2023. During the year ended September 30, 2024, we completed the acquisition of Greiner for $67.0 million. We also had capital expenditures of $45.2 million as we acquired new facilities to increase the manufacturing capacity of our Infrastructure Solutions segment's operations, purchased new assets instead of entering into new lease agreements at our Residential and Communications segments, and made other capital expenditures to support the growth of our business. During the year ended September 30, 2023, the sale of assets, including the sale of STR, provided cash of $20.6 million, which was partially offset by capital expenditures of $17.7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$96.1 million in the year ended September 30, 2025. Net cash used in financing activities for the year ended September 30, 2025 included $41.6 million used for the repurchase of our common stock, including repurchases to satisfy statutory withholding requirements upon the vesting of employee stock compensation, $40.0 million paid to acquire the 20 percent noncontrolling interest in Edmonson Electric, LLC, and distributions to noncontrolling interests of $8.6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$100.5 million in the year ended September 30, 2024. Net cash used in financing activities for the year ended September 30, 2024 included $44.0 million used for the repurchase of our common stock, including repurchases to satisfy statutory withholding requirements upon the vesting of employee stock compensation, $32.0 million paid to acquire the 20 percent noncontrolling interest in Bayonet Plumbing, Heating &amp; Air-Conditioning, LLC, and distributions to noncontrolling interests of $16.2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$105.8 million in the year ended September 30, 2023. Net cash used in financing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September 30, 2023 included net repayments on our credit facility of $82.7 million, distributions to noncontrolling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interests of $11.5 million, and $8.3 million used for the repurchase of our common stock, including repurchases to satisfy statutory withholding requirements upon the vesting of employee stock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CONTROLLING SHAREHOLDER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Tontine Associates, L.L.C. ("Tontine Associates"), together with its affiliates (collectively, "Tontine") is the Company's controlling stockholder, owning approximately 54 percent of the Company’s outstanding common stock based on a Form 4 and a Schedule 13D/A filed by Tontine with the SEC on September 17, 2025 and the Company's shares outstanding as of November 17, 2025. Accordingly, Tontine has the ability to exercise significant control over our affairs, including the election of directors and most actions requiring the approval of shareholders.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Company is a party to a sublease agreement with Tontine Associates, for corporate office space in Greenwich, </w:t>
      </w:r>
      <w:r>
        <w:rPr>
          <w:rFonts w:ascii="Times New Roman;serif" w:hAnsi="Times New Roman;serif"/>
          <w:b w:val="false"/>
          <w:color w:val="000000"/>
          <w:sz w:val="20"/>
        </w:rPr>
        <w:t xml:space="preserve">Connecticut. In December 2022, the Company entered into an amendment of the sublease agreement, which was set to terminate on February 28, 2023, to extend the term of the agreement through August 31, 2024 and to increase the monthly payments from approximately $8 thousand to approximately $9 thousand effective March 1, 2023. On August 1, 2024, the Company entered into an amendment of the sublease agreement to extend the term of the agreement through September 30, 2025, effective September 1, 2024. On August 1, 2025, the Company entered into an amendment of the sublease agreement to extend the term of the agreement through September 30, 2026. Payments by the Company are at a rate consistent with that paid by Tontine Associates to its landlord.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Jeffrey L. Gendell was appointed Executive Chairman of the Company effective July 1, 2025 after serving as Chief Executive Officer of the Company from October 1, 2020 to June 30, 2025, and as the Company's Interim Chief Executive Officer from July 31, 2020 to September 30, 2020. Mr. Gendell has also served as a director and as Chairman of the Board of Directors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OFF-BALANCE SHEET ARRANGEMENTS AND CONTRACTUAL OBLIGATIONS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is common in our industry, we have entered into certain off-balance sheet arrangements that expose us to increased risk. Our significant off-balance sheet transactions include letter of credit obligations, firm commitments for materials and surety 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2025, $5.5 million of our outstanding letters of credit were to collateralize our insurance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enter into firm purchase commitments for materials such as copper wire and aluminum wire, which we expect to use in the ordinary course of business. These commitments are typically for terms of less than one year and require us to buy minimum quantities of materials at specified intervals at a fixed price over the term. As of September 30, 2025, we had firm commitments of $13.4 million outstanding under agreements to purchase materials over the next 12 months in the ordinary course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CRITICAL ACCOUNTING POLICIES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Revenue Recognition.</w:t>
      </w:r>
      <w:r>
        <w:rPr>
          <w:color w:val="000000"/>
        </w:rPr>
        <w:t> </w:t>
      </w:r>
      <w:r>
        <w:rPr>
          <w:rFonts w:ascii="Times New Roman;serif" w:hAnsi="Times New Roman;serif"/>
          <w:b w:val="false"/>
          <w:color w:val="000000"/>
          <w:sz w:val="20"/>
        </w:rPr>
        <w:t>We enter into contracts principally on the basis of competitive bids. We frequently negotiate the final terms and prices of those contracts with the customer. Although the terms of our contracts vary considerably, approximately 87.1% of our revenues are based on either a fixed price or unit price basis in which we agree to do the work for a fixed amount for the entire project (fixed price) or for units of work performed (unit price). Approximately 12.9% of our revenues are earned from contracts where we are paid on a time and materials basis. Our most significant cost drivers are the cost of labor and materials.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64% of our total revenue for the year ended September 30, 2025.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generally do not incur significant costs related to obtaining contracts, or initial set-up or mobilization costs, prior to the start of a project. When significant pre</w:t>
        <w:noBreakHyphen/>
        <w:t>contract costs are incurred, they will be capitalized and amortized on a percentage of completion basis over the life of the contract.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Variable consideration, including claims and unapproved change orders, is estimated at either the expected probability weighted value or the most likely amount in a range of possible consideration amounts, utilizing estimation methods that best predict the amount of consideration to which we will be entitled (or will be incurred in the case of liquidated damages, if any). Claims made by us involve negotiation and, in certain cases, litigation. Such litigation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80"/>
        <w:jc w:val="left"/>
        <w:rPr/>
      </w:pPr>
      <w:r>
        <w:rPr>
          <w:rFonts w:ascii="Times New Roman;serif" w:hAnsi="Times New Roman;serif"/>
          <w:b w:val="false"/>
          <w:i/>
          <w:color w:val="000000"/>
          <w:sz w:val="20"/>
        </w:rPr>
        <w:t>Business Combinations</w:t>
      </w:r>
      <w:r>
        <w:rPr>
          <w:rFonts w:ascii="Times New Roman;serif" w:hAnsi="Times New Roman;serif"/>
          <w:b w:val="false"/>
          <w:color w:val="000000"/>
          <w:sz w:val="20"/>
        </w:rPr>
        <w:t>. In accounting for business combinations, certain assumptions and estimates are employed in determining the fair value of assets 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pStyle w:val="TextBody"/>
        <w:bidi w:val="0"/>
        <w:spacing w:lineRule="auto" w:line="288" w:before="180" w:after="283"/>
        <w:jc w:val="left"/>
        <w:rPr/>
      </w:pPr>
      <w:r>
        <w:rPr>
          <w:rFonts w:ascii="Times New Roman;serif" w:hAnsi="Times New Roman;serif"/>
          <w:b w:val="false"/>
          <w:i/>
          <w:color w:val="000000"/>
          <w:sz w:val="20"/>
        </w:rPr>
        <w:t>New Accounting Pronouncements.</w:t>
      </w:r>
      <w:r>
        <w:rPr>
          <w:color w:val="000000"/>
        </w:rPr>
        <w:t> </w:t>
      </w:r>
      <w:r>
        <w:rPr>
          <w:rFonts w:ascii="Times New Roman;serif" w:hAnsi="Times New Roman;serif"/>
          <w:b w:val="false"/>
          <w:color w:val="000000"/>
          <w:sz w:val="20"/>
        </w:rPr>
        <w:t xml:space="preserve">Recent accounting pronouncements are described in Note 2, “Summary of Significant Accounting Policies — </w:t>
      </w:r>
      <w:r>
        <w:rPr>
          <w:rFonts w:ascii="Times New Roman;serif" w:hAnsi="Times New Roman;serif"/>
          <w:b w:val="false"/>
          <w:i/>
          <w:color w:val="000000"/>
          <w:sz w:val="20"/>
        </w:rPr>
        <w:t>New Accounting Pronouncements</w:t>
      </w:r>
      <w:r>
        <w:rPr>
          <w:color w:val="000000"/>
        </w:rPr>
        <w:t xml:space="preserve">” </w:t>
      </w:r>
      <w:r>
        <w:rPr>
          <w:rFonts w:ascii="Times New Roman;serif" w:hAnsi="Times New Roman;serif"/>
          <w:b w:val="false"/>
          <w:color w:val="000000"/>
          <w:sz w:val="20"/>
        </w:rPr>
        <w:t xml:space="preserve">in the notes to our Consolidated Financial Statements and at relevant sections in this discussion and analysis.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We are exposed to market price volatility as the fair value of our investments in marketable securities may fluctuate in response to changes in market value of such securities. We are also exposed to interest rate risk with respect to any debt obligations we may incur on our credit facility. For additional information see</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Item 1A 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exposure to significant market risks includes fluctuations in commodity prices including, but not limited to, copper, aluminum, steel, electrical components, fuel, and certain plastics. Commodity price risks may have an impact on our results of operations due to the fixed nature of many of our contracts. Over the long term, we expect to be able to pass along a portion of these costs to our customers, as market conditions in the construction industry will allow.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We are exposed to market price volatility for our investments in marketable securities which</w:t>
      </w:r>
      <w:r>
        <w:rPr>
          <w:color w:val="000000"/>
        </w:rPr>
        <w:t xml:space="preserve"> </w:t>
      </w:r>
      <w:r>
        <w:rPr>
          <w:rFonts w:ascii="Times New Roman;serif" w:hAnsi="Times New Roman;serif"/>
          <w:b w:val="false"/>
          <w:color w:val="000000"/>
          <w:sz w:val="20"/>
        </w:rPr>
        <w:t>are carried at fair value measured using market prices, with gains and losses included in Other income, net on our Consolidated Statements of Comprehensive Income. Changes in the market value of these investments could create volatility in our reported earnings from period to period, and a decline in value of our investments could have an adverse impact on our reported earnings.</w:t>
      </w:r>
      <w:r>
        <w:rPr>
          <w:color w:val="000000"/>
          <w:shd w:fill="FFFFFF" w:val="clear"/>
        </w:rPr>
        <w:t xml:space="preserve"> </w:t>
      </w:r>
      <w:r>
        <w:rPr>
          <w:rFonts w:ascii="Times New Roman;serif" w:hAnsi="Times New Roman;serif"/>
          <w:b w:val="false"/>
          <w:color w:val="000000"/>
          <w:sz w:val="20"/>
          <w:shd w:fill="FFFFFF" w:val="clear"/>
        </w:rPr>
        <w:t xml:space="preserve">Changes in market value of investments measured at fair value resulted in an unrealized gain of </w:t>
      </w:r>
      <w:r>
        <w:rPr>
          <w:rFonts w:ascii="Times New Roman;serif" w:hAnsi="Times New Roman;serif"/>
          <w:b w:val="false"/>
          <w:color w:val="000000"/>
          <w:sz w:val="20"/>
        </w:rPr>
        <w:t>$7.5 million</w:t>
      </w:r>
      <w:r>
        <w:rPr>
          <w:color w:val="000000"/>
          <w:shd w:fill="FFFFFF" w:val="clear"/>
        </w:rPr>
        <w:t xml:space="preserve"> </w:t>
      </w:r>
      <w:r>
        <w:rPr>
          <w:rFonts w:ascii="Times New Roman;serif" w:hAnsi="Times New Roman;serif"/>
          <w:b w:val="false"/>
          <w:color w:val="000000"/>
          <w:sz w:val="20"/>
          <w:shd w:fill="FFFFFF" w:val="clear"/>
        </w:rPr>
        <w:t xml:space="preserve">in the year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we had investments in marketable securities with a fair value of </w:t>
      </w:r>
      <w:r>
        <w:rPr>
          <w:rFonts w:ascii="Times New Roman;serif" w:hAnsi="Times New Roman;serif"/>
          <w:b w:val="false"/>
          <w:color w:val="000000"/>
          <w:sz w:val="20"/>
        </w:rPr>
        <w:t>$104.6 million, and a</w:t>
      </w:r>
      <w:r>
        <w:rPr>
          <w:color w:val="000000"/>
          <w:shd w:fill="FFFFFF" w:val="clear"/>
        </w:rPr>
        <w:t xml:space="preserve"> </w:t>
      </w:r>
      <w:r>
        <w:rPr>
          <w:rFonts w:ascii="Times New Roman;serif" w:hAnsi="Times New Roman;serif"/>
          <w:b w:val="false"/>
          <w:color w:val="000000"/>
          <w:sz w:val="20"/>
          <w:shd w:fill="FFFFFF" w:val="clear"/>
        </w:rPr>
        <w:t xml:space="preserve">10% change in the market value of these investments would cause a </w:t>
      </w:r>
      <w:r>
        <w:rPr>
          <w:rFonts w:ascii="Times New Roman;serif" w:hAnsi="Times New Roman;serif"/>
          <w:b w:val="false"/>
          <w:color w:val="000000"/>
          <w:sz w:val="20"/>
        </w:rPr>
        <w:t>$10.5 million impact to our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Floating rate debt, where the interest rate fluctuates periodically, exposes us to short-term changes in market interest rates. Any borrowings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September 30, 2025.</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8. Financial Statements and Supplementary Data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826" w:type="dxa"/>
        <w:jc w:val="center"/>
        <w:tblInd w:w="0" w:type="dxa"/>
        <w:tblLayout w:type="fixed"/>
        <w:tblCellMar>
          <w:top w:w="28" w:type="dxa"/>
          <w:left w:w="28" w:type="dxa"/>
          <w:bottom w:w="28" w:type="dxa"/>
          <w:right w:w="28" w:type="dxa"/>
        </w:tblCellMar>
      </w:tblPr>
      <w:tblGrid>
        <w:gridCol w:w="2264"/>
        <w:gridCol w:w="1990"/>
        <w:gridCol w:w="2001"/>
        <w:gridCol w:w="167"/>
        <w:gridCol w:w="167"/>
        <w:gridCol w:w="237"/>
      </w:tblGrid>
      <w:tr>
        <w:trPr/>
        <w:tc>
          <w:tcPr>
            <w:tcW w:w="226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6">
              <w:r>
                <w:rPr>
                  <w:rStyle w:val="InternetLink"/>
                  <w:rFonts w:ascii="Times New Roman;serif" w:hAnsi="Times New Roman;serif"/>
                  <w:b w:val="false"/>
                  <w:color w:val="0000FF"/>
                  <w:sz w:val="20"/>
                  <w:u w:val="single"/>
                </w:rPr>
                <w:t>Reports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c96c0408ab14e7fa4f245eb629b36ec_106">
              <w:r>
                <w:rPr>
                  <w:rStyle w:val="InternetLink"/>
                  <w:rFonts w:ascii="Times New Roman;serif" w:hAnsi="Times New Roman;serif"/>
                  <w:b w:val="false"/>
                  <w:color w:val="0000FF"/>
                  <w:sz w:val="20"/>
                  <w:u w:val="single"/>
                </w:rPr>
                <w:t>40</w:t>
              </w:r>
            </w:hyperlink>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09">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6c0408ab14e7fa4f245eb629b36ec_109">
              <w:r>
                <w:rPr>
                  <w:rStyle w:val="InternetLink"/>
                  <w:rFonts w:ascii="Times New Roman;serif" w:hAnsi="Times New Roman;serif"/>
                  <w:b w:val="false"/>
                  <w:color w:val="0000FF"/>
                  <w:sz w:val="20"/>
                  <w:u w:val="single"/>
                </w:rPr>
                <w:t>42</w:t>
              </w:r>
            </w:hyperlink>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12">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6c0408ab14e7fa4f245eb629b36ec_112">
              <w:r>
                <w:rPr>
                  <w:rStyle w:val="InternetLink"/>
                  <w:rFonts w:ascii="Times New Roman;serif" w:hAnsi="Times New Roman;serif"/>
                  <w:b w:val="false"/>
                  <w:color w:val="0000FF"/>
                  <w:sz w:val="20"/>
                  <w:u w:val="single"/>
                </w:rPr>
                <w:t>43</w:t>
              </w:r>
            </w:hyperlink>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15">
              <w:r>
                <w:rPr>
                  <w:rStyle w:val="InternetLink"/>
                  <w:rFonts w:ascii="Times New Roman;serif" w:hAnsi="Times New Roman;serif"/>
                  <w:b w:val="false"/>
                  <w:color w:val="0000FF"/>
                  <w:sz w:val="20"/>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6c0408ab14e7fa4f245eb629b36ec_115">
              <w:r>
                <w:rPr>
                  <w:rStyle w:val="InternetLink"/>
                  <w:rFonts w:ascii="Times New Roman;serif" w:hAnsi="Times New Roman;serif"/>
                  <w:b w:val="false"/>
                  <w:color w:val="0000FF"/>
                  <w:sz w:val="20"/>
                  <w:u w:val="single"/>
                </w:rPr>
                <w:t>44</w:t>
              </w:r>
            </w:hyperlink>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18">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6c0408ab14e7fa4f245eb629b36ec_118">
              <w:r>
                <w:rPr>
                  <w:rStyle w:val="InternetLink"/>
                  <w:rFonts w:ascii="Times New Roman;serif" w:hAnsi="Times New Roman;serif"/>
                  <w:b w:val="false"/>
                  <w:color w:val="0000FF"/>
                  <w:sz w:val="20"/>
                  <w:u w:val="single"/>
                </w:rPr>
                <w:t>45</w:t>
              </w:r>
            </w:hyperlink>
          </w:p>
        </w:tc>
      </w:tr>
      <w:tr>
        <w:trPr/>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6c0408ab14e7fa4f245eb629b36ec_121">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6c0408ab14e7fa4f245eb629b36ec_121">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To the Stockholders and the Board of Directors of IES Holdings, Inc.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Opinion on the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We have audited the accompanying consolidated balance sheets of IES Holdings, Inc. and subsidiaries (the Company) as of September 30, 2025 and 2024, the related consolidated statements of comprehensive income, stockholders' equity and cash flows for each of the three years in the period ended September 30, 2025, and the related notes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 and our report dated November 21, 2025 expressed an unqualified opinion thereon.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Critical Audit Matter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tbl>
      <w:tblPr>
        <w:tblW w:w="10205" w:type="dxa"/>
        <w:jc w:val="left"/>
        <w:tblInd w:w="0" w:type="dxa"/>
        <w:tblLayout w:type="fixed"/>
        <w:tblCellMar>
          <w:top w:w="28" w:type="dxa"/>
          <w:left w:w="28" w:type="dxa"/>
          <w:bottom w:w="28" w:type="dxa"/>
          <w:right w:w="28" w:type="dxa"/>
        </w:tblCellMar>
      </w:tblPr>
      <w:tblGrid>
        <w:gridCol w:w="495"/>
        <w:gridCol w:w="435"/>
        <w:gridCol w:w="438"/>
        <w:gridCol w:w="2669"/>
        <w:gridCol w:w="2546"/>
        <w:gridCol w:w="3622"/>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Revenue recognition for certain fixed-price construction contracts</w:t>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Description of the Matter </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described in Notes 2 and 4 to the consolidated financial statements, the Company principally recognizes revenue on construction contracts over time using costs incurred as a percentage of estimated total costs at completion to determine the extent of progress toward satisfying performance obligations. Revenue recognition under this method is subject to judgment as the determination of progress towards completion requires management to prepare estimates of total project costs to complete. </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Auditing management’s estimates used in the revenue recognition process for construction projects is subjective, requiring judgment to evaluate management’s determination of forecasted costs to complete. </w:t>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How We Addressed the Matter in Our Audit</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obtained an understanding, evaluated the design and tested the operating effectiveness of controls over the Company’s estimating process, including controls over management’s review of the estimated cost to complete construction contracts.</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Our audit procedures included, among others, evaluating appropriate application of the Company’s revenue recognition method; testing significant assumptions used to develop the estimated cost to complete; and testing the completeness and accuracy of the underlying data. To assess the reasonableness of management’s estimated costs, we performed audit procedures that included, among others, procedures that are analytical in nature; agreeing the estimate to supporting documentation; conducting interviews with project personnel; attending select project review meetings; and performing retrospective review.</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 Ernst &amp; Young LLP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served as the Company’s auditor since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Houston, Texas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November 21, 2025</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IES Holdings,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IES Holdings, Inc. and subsidiaries’ internal control over financial reporting as of September 30, 2025,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2025, based on the COSO criteria.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consolidated balance sheets of the Company as of September 30, 2025 and 2024, the related consolidated statements of comprehensive income, stockholders’ equity and cash flows for each of the three years in the period ended September 30, 2025, and the related notes and our report dated November 21, 2025 expressed an unqualified opinion thereon.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November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9"/>
        <w:gridCol w:w="179"/>
        <w:gridCol w:w="179"/>
        <w:gridCol w:w="624"/>
        <w:gridCol w:w="624"/>
        <w:gridCol w:w="624"/>
        <w:gridCol w:w="1485"/>
        <w:gridCol w:w="1440"/>
        <w:gridCol w:w="1450"/>
        <w:gridCol w:w="211"/>
        <w:gridCol w:w="976"/>
        <w:gridCol w:w="109"/>
        <w:gridCol w:w="109"/>
        <w:gridCol w:w="109"/>
        <w:gridCol w:w="109"/>
        <w:gridCol w:w="211"/>
        <w:gridCol w:w="976"/>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net of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long-term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(NOTE 19</w:t>
            </w:r>
            <w:r>
              <w:rPr>
                <w:rFonts w:ascii="Times New Roman;serif" w:hAnsi="Times New Roman;serif"/>
                <w:b/>
                <w:color w:val="000000"/>
                <w:sz w:val="20"/>
              </w:rPr>
              <w: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43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none issued</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100,000,000 shares authorized; 22,049,529</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19,854,463 and 19,971,670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2,195,066 and 2,077,859 shares,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tbl>
      <w:tblPr>
        <w:tblW w:w="10205" w:type="dxa"/>
        <w:jc w:val="center"/>
        <w:tblInd w:w="0" w:type="dxa"/>
        <w:tblLayout w:type="fixed"/>
        <w:tblCellMar>
          <w:top w:w="28" w:type="dxa"/>
          <w:left w:w="28" w:type="dxa"/>
          <w:bottom w:w="28" w:type="dxa"/>
          <w:right w:w="28" w:type="dxa"/>
        </w:tblCellMar>
      </w:tblPr>
      <w:tblGrid>
        <w:gridCol w:w="672"/>
        <w:gridCol w:w="557"/>
        <w:gridCol w:w="557"/>
        <w:gridCol w:w="667"/>
        <w:gridCol w:w="643"/>
        <w:gridCol w:w="634"/>
        <w:gridCol w:w="628"/>
        <w:gridCol w:w="628"/>
        <w:gridCol w:w="628"/>
        <w:gridCol w:w="211"/>
        <w:gridCol w:w="976"/>
        <w:gridCol w:w="109"/>
        <w:gridCol w:w="109"/>
        <w:gridCol w:w="109"/>
        <w:gridCol w:w="109"/>
        <w:gridCol w:w="211"/>
        <w:gridCol w:w="976"/>
        <w:gridCol w:w="109"/>
        <w:gridCol w:w="109"/>
        <w:gridCol w:w="109"/>
        <w:gridCol w:w="109"/>
        <w:gridCol w:w="211"/>
        <w:gridCol w:w="976"/>
        <w:gridCol w:w="158"/>
      </w:tblGrid>
      <w:tr>
        <w:trPr/>
        <w:tc>
          <w:tcPr>
            <w:tcW w:w="67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1,932,688 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72" w:type="dxa"/>
            <w:gridSpan w:val="6"/>
            <w:tcBorders/>
          </w:tcPr>
          <w:p>
            <w:pPr>
              <w:pStyle w:val="TableContents"/>
              <w:bidi w:val="0"/>
              <w:spacing w:before="0" w:after="283"/>
              <w:jc w:val="left"/>
              <w:rPr>
                <w:sz w:val="4"/>
                <w:szCs w:val="4"/>
              </w:rPr>
            </w:pPr>
            <w:r>
              <w:rPr>
                <w:sz w:val="4"/>
                <w:szCs w:val="4"/>
              </w:rPr>
            </w:r>
          </w:p>
        </w:tc>
      </w:tr>
      <w:tr>
        <w:trPr/>
        <w:tc>
          <w:tcPr>
            <w:tcW w:w="5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20,413,032 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tbl>
      <w:tblPr>
        <w:tblW w:w="10793" w:type="dxa"/>
        <w:jc w:val="center"/>
        <w:tblInd w:w="0" w:type="dxa"/>
        <w:tblLayout w:type="fixed"/>
        <w:tblCellMar>
          <w:top w:w="28" w:type="dxa"/>
          <w:left w:w="28" w:type="dxa"/>
          <w:bottom w:w="28" w:type="dxa"/>
          <w:right w:w="28" w:type="dxa"/>
        </w:tblCellMar>
      </w:tblPr>
      <w:tblGrid>
        <w:gridCol w:w="189"/>
        <w:gridCol w:w="166"/>
        <w:gridCol w:w="166"/>
        <w:gridCol w:w="465"/>
        <w:gridCol w:w="405"/>
        <w:gridCol w:w="271"/>
        <w:gridCol w:w="480"/>
        <w:gridCol w:w="481"/>
        <w:gridCol w:w="186"/>
        <w:gridCol w:w="109"/>
        <w:gridCol w:w="109"/>
        <w:gridCol w:w="109"/>
        <w:gridCol w:w="196"/>
        <w:gridCol w:w="421"/>
        <w:gridCol w:w="109"/>
        <w:gridCol w:w="109"/>
        <w:gridCol w:w="109"/>
        <w:gridCol w:w="109"/>
        <w:gridCol w:w="443"/>
        <w:gridCol w:w="443"/>
        <w:gridCol w:w="18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(1,707,629)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(256,437)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22,049,529 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(1,855,311)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(329,648)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IES Holdings, Inc.'s ownership interest in consolidated subsidiaries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22,049,529 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(2,077,859)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IES Holdings, Inc.'s ownership interest in consolidated subsidiaries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(2,195,066)</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883,955 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43"/>
        <w:gridCol w:w="1946"/>
        <w:gridCol w:w="1949"/>
        <w:gridCol w:w="196"/>
        <w:gridCol w:w="737"/>
        <w:gridCol w:w="109"/>
        <w:gridCol w:w="109"/>
        <w:gridCol w:w="109"/>
        <w:gridCol w:w="109"/>
        <w:gridCol w:w="197"/>
        <w:gridCol w:w="746"/>
        <w:gridCol w:w="109"/>
        <w:gridCol w:w="109"/>
        <w:gridCol w:w="109"/>
        <w:gridCol w:w="109"/>
        <w:gridCol w:w="197"/>
        <w:gridCol w:w="746"/>
        <w:gridCol w:w="109"/>
        <w:gridCol w:w="109"/>
        <w:gridCol w:w="158"/>
      </w:tblGrid>
      <w:tr>
        <w:trPr/>
        <w:tc>
          <w:tcPr>
            <w:tcW w:w="2243"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 (benefit)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 amortization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compensation expense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and other non-cash tax adjustments, net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trading securities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income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estimated earnings in excess of billings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costs and estimated earnings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conjunction with equity investments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in conjunction with business combinations or dispositions, net of cash acquired</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finance leases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noncontrolling interest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Settlement of contingent consideration liability</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beginning of period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in exchange for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 assumed in conjunction with business combinations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Amounts in Thousands Except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Communications</w:t>
      </w:r>
      <w:r>
        <w:rPr>
          <w:color w:val="000000"/>
        </w:rPr>
        <w:t xml:space="preserve"> – </w:t>
      </w:r>
      <w:r>
        <w:rPr>
          <w:rFonts w:ascii="Times New Roman;serif" w:hAnsi="Times New Roman;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Residential</w:t>
      </w:r>
      <w:r>
        <w:rPr>
          <w:color w:val="000000"/>
        </w:rPr>
        <w:t xml:space="preserve"> – </w:t>
      </w:r>
      <w:r>
        <w:rPr>
          <w:rFonts w:ascii="Times New Roman;serif" w:hAnsi="Times New Roman;serif"/>
          <w:b w:val="false"/>
          <w:color w:val="000000"/>
          <w:sz w:val="20"/>
        </w:rPr>
        <w:t xml:space="preserve">Regional provider of electrical installation services for single-family housing and multi-family apartment complexes, as well as heating, ventilation and air conditioning (HVAC) and plumbing installation services in certain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Infrastructure Solutions</w:t>
      </w:r>
      <w:r>
        <w:rPr>
          <w:color w:val="000000"/>
        </w:rPr>
        <w:t xml:space="preserve"> – </w:t>
      </w:r>
      <w:r>
        <w:rPr>
          <w:rFonts w:ascii="Times New Roman;serif" w:hAnsi="Times New Roman;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Commercial &amp; Industrial</w:t>
      </w:r>
      <w:r>
        <w:rPr>
          <w:color w:val="000000"/>
        </w:rPr>
        <w:t xml:space="preserve"> – </w:t>
      </w:r>
      <w:r>
        <w:rPr>
          <w:rFonts w:ascii="Times New Roman;serif" w:hAnsi="Times New Roman;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words “IES”, the “Company”, “we”, “our”, and “us” refer to IES Holdings, Inc. and, except as otherwise specified herein, to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IES Holdings, Inc. and its consolidated subsidiaries. All significant intercompany accounts and transactions have been eliminated in consolidation.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purchased with an original maturity of three months or less to be cash equivalents.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Marketable securities consist of highly liquid equity securities and debt securities with original maturities over three months. All of our marketable debt securities are classified as trading securities and mature after one year and before five years from the balance sheet date. Our marketable securities with readily determinable fair values are carried at fair value, with gains and losses included in Other income, net on our Consolidated Statements of Comprehensive Income.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consist of raw materials, work in process, finished goods, and parts and supplies held for use in the ordinary course of business. Inventory is valued at the lower of cost or net realizable value generally using the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Costs associated with software developed or obtained for internal use, including third party development fees incurred during the application development stage and software licenses, are capitalized and amortized on a straight-line basis over the estimated useful life of the software.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 </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with definite lives are amortized over their estimated useful lives based on expected economic benefit with no residual value.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Debt Issuance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are included in other non-current assets and are amortized to interest expense over the scheduled maturity of the debt. Amortization expense of debt issuance costs was $475, $287 and $268, respectively, for the years ended September 30, 2025, 2024 and 2023. Remaining unamortized capitalized debt issuance costs were $2,597 and $598 at September 30, 2025, and 2024, respectively.</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is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on construction contracts over time using the percentage of completion method. Construction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We recognize revenue from change orders or claims when recovery of such amounts is probable. The amount of revenue associated with unapproved change orders and claims was immaterial for the years ended September 30, 2025, 2024 and 2023. Provisions for total estimated losses on uncompleted contracts are made in the period in which such losses are determined. The balances billed but not paid by customers pursuant to retainage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contracts are typically due upon completion of the contracts and acceptance by the customer. Based on our experience, the retention balance at each balance sheet date will be collected within the subsequent fiscal year.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divisions in our operating segments recognize revenue at the completion of the contract ("completed contract") under the right to invoice practical expedient because the duration of their contracts is short in nature. We recognize revenue on completed contracts when the project is complete and billable to the customer.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Accounts Receivable and Allowance for Credit Losses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accounts receivable for all amounts billed and not collected and amounts for which we have an unconditional right to bill our customers. Additionally, we provide an allowance for credit losses based on historical company-specific uncollectable accounts, as well as current and expected market conditions. From time to time, we establish additional allowance for credit losses for financial asset balances with specific customers where collectability has been determined to be improbable based on specific facts and circumstances. Such allowances are established as deemed necessary in the period such determination is made. As is common in our industry, some of these receivables are in litigation or require us to exercise our contractual lien rights in order to collect. Our allowance for credit losses at September 30, 2025 and 2024 was $4,340 and $1,818,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calculating our expected credit losses, we consider trade receivables, retainage, and costs and estimated earnings in excess of billings, all of which constitute a homogenous portfolio, and therefore, to measure the expected credit loss, they are grouped together.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Comprehensive Income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 includes all changes in equity during a period except those resulting from investments by and distributions to stockholders.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follow the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 quarterly basis, we evaluate the realizability of our deferred tax assets and reduce such assets by a valuation allowance if it is more likely than not that some portion or all of the deferred tax assets will not be realized. We consider all available evidence, both positive and negative, in determining whether a valuation allowance is required. In making this assessment, we consider the scheduled reversal of deferred tax liabilities, projected future taxable income and tax planning strategies. If actual future taxable income is different from these estimates, our results could be affected.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 reserves for income taxes related to certain tax positions when management considers it more likely than not that additional taxes may be due in excess of amounts reflected on income tax returns filed. When recording these reserves, we assume that taxing authorities have full knowledge of the position and all relevant facts. We continually review exposure to additional tax obligations, and as further information is known or events occur, changes in tax reserves may be recorded. To the extent interest and penalties may be assessed by taxing authorities on any underpayment of income tax, such amounts have been accrued and included in the provision for income taxes.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account for investments using the equity method of accounting if the investment gives us the ability to exercise significant influence over an investee but does not grant us control. Significant influence generally exists when an investor owns 20% or more of the voting stock of an incorporated investee or a more than 3% to 5% interest in an unincorporated investee. Under the equity method of accounting, the carrying amount of an investment is initially recorded at cost basis and is subsequently adjusted for our proportionate share of earnings or losses, additional investments in the entity, and distributions. Our proportionate share of earnings or losses is recorded in “Equity method investment income” on our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accounts receivable, accounts payable, and contract assets and liabilities approximate fair values due to their short-term nature. The carrying value of borrowings under our revolving credit facility approximates fair value as its effective interest rate is variable and approximates market rates.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acquisitions of Edmonson Electric, LLC (“Edmonson”) and Bayonet Plumbing, Heating &amp; Air-Conditioning, LLC (“Bayonet”) in fiscal 2021, and NEXT Electric, LLC (“NEXT”) in fiscal 2017, we acquired an 80 percent interest in each of the entities, with the remaining 20 percent interest in each such entity being retained by the respective third party sellers. The interests retained by those third party sellers are identified on our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June 28, 2024, we purchased the remaining 20 percent noncontrolling interest in Bayonet for $32,000, and on July 1, 2025, we purchased the remaining 20 percent noncontrolling interest in Edmonson for $40,000. As we retained our controlling interest in these companies, the changes in ownership interests were accounted for as equity transactions. The difference between the balance of the noncontrolling interest at the date of redemption of the remaining interests and the consideration paid was recognized in Additional Paid-In Capital in the accompanying Consolidated Balance Sheets and was not reflected in earnings.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all of the noncontrolling interests remaining outstanding at September 30, 2025 had been redeemable at that date, the redemption amount would have been $4,007.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activity in redeemable noncontrolling interest is summarized in the table below.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90"/>
        <w:gridCol w:w="1992"/>
        <w:gridCol w:w="1999"/>
        <w:gridCol w:w="211"/>
        <w:gridCol w:w="721"/>
        <w:gridCol w:w="109"/>
        <w:gridCol w:w="109"/>
        <w:gridCol w:w="109"/>
        <w:gridCol w:w="109"/>
        <w:gridCol w:w="211"/>
        <w:gridCol w:w="721"/>
        <w:gridCol w:w="109"/>
        <w:gridCol w:w="109"/>
        <w:gridCol w:w="109"/>
        <w:gridCol w:w="109"/>
        <w:gridCol w:w="211"/>
        <w:gridCol w:w="721"/>
        <w:gridCol w:w="156"/>
      </w:tblGrid>
      <w:tr>
        <w:trPr/>
        <w:tc>
          <w:tcPr>
            <w:tcW w:w="2390"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record noncontrolling interests at redemption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record noncontrolling interests at value of consideration paid to acquire ownership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from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commencement of the lease, we recognize a lease liability and corresponding right-of-use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ROU assets represent our right to control the use of the leased asset during the lease and are recognized in an amount equal to the lease liability with adjustments for prepaid or accrued rent, lease incentives or unamortized initial direct costs. Costs associated with ROU assets are recognized on a straight-line basis over the term of the lease. Our lease assets are tested for impairment in the same manner as long-lived assets used in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Accounting Standards Recently Adopted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(the “FASB”) issued Accounting Standard Update No. 2023-07, Segment Reporting (Topic 280): Improvements to Reportable Segment Disclosures (“ASU 2023-07”). This standard requires disclosure of significant segment expenses, other segment items, and additional information about the chief operating decision maker (“CODM”). This update is effective for fiscal years beginning after December 15, 2023, and interim periods within fiscal years beginning after December 15, 2024. Early adoption is permitted, and retrospective application is required. We adopted this standard on October 1, 2024. This update impacted our annual disclosures; it had no impact on our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and Disclosure Rules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 Update No. 2024-03, Income Statement—Reporting Comprehensive Income—Expense Disaggregation Disclosures (Subtopic 220-40): Disaggregation of Income Statement Expenses (“ASU 2024-03”). This standard requires additional disclosures over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annual disclosures; however, it will not impact our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 Update No. 2025-06, Intangibles—Goodwill and Other—Internal-Use Software (Subtopic 350-40): Targeted Improvements to the Accounting for Internal-Use Software (“ASU 2025-06”). This standard amends the existing standard for capitalizing costs to develop or obtain software for internal use. This update removes the requirement for costs associated with internal-use software projects to be capitalized only at certain stages of development, instead only requiring that management has authorized and committed to funding a software project and that it is probable that the project will be completed and the software will be used for the function intended in order for these costs to be capitalized. This update is effective for fiscal years beginning after December 15, 2027, and interim periods within fiscal years beginning after December 15, 2028. Early adoption is permitted. This update may be applied on a prospective or retrospective basis, or a modified prospective basis for in-process projects. We are evaluating the impact this update will have on our financial condition, results of operations, and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CONTROLLING SHAREHOLDER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Tontine Associates, L.L.C. (“Tontine Associates”), together with its affiliates (collectively, “Tontine”) is the Company's controlling stockholder, owning approximately 54 percent of the Company’s outstanding common stock based on a Form 4 and a Schedule 13D/A filed by Tontine with the SEC on September 17, 2025 and the Company's shares outstanding as of November 17, 2025. Accordingly, Tontine has the ability to exercise significant control over our affairs, including the election of directors and most actions requiring the approval of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Tontine is subject to certain restrictions under federal securities laws on sales of its shares as an affiliate, the Company has filed a resale shelf registration statement to register for resale a majority of the shares of IES common stock owned by Tontine. As long as the resale shelf registration statement remains effective and the Company remains eligible to use it, Tontine has the ability to resell any or all of its registered shares from time to time in one or more offerings, as described in the resale shelf registration statement and in any prospectus supplement filed in connection with an offering pursuant to the resale shelf registration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Should Tontine, or its underlying individual owners, sell or otherwise dispose of all or a significant portion of its position in IES, a change in ownership of IES could occur. A change of control would trigger the change of control provisions in a number of our material agreements, including our credit agreement, bonding agreements with our sureties and our executive severance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L. Gendell was appointed Executive Chairman of the Company effective July 1, 2025 after serving as Chief Executive Officer of the Company from October 1, 2020 to June 30, 2025, and as the Company's Interim Chief Executive Officer from July 31, 2020 to September 30, 2020. Mr. Gendell has also served as a director and as Chairman of the Board of Directors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On August 1, 2024, the Company entered into an amendment of the sublease agreement to extend the term of the agreement through September 30, 2025, effective September 1, 2024. On August 1, 2025, the Company entered into an amendment of the sublease agreement to extend the term of the agreement through September 30, 2026. Payments by the Company are at a rate consistent with that paid by Tontine Associates to its landlord.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Contracts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Residential Single-family business and our Infrastructure Solutions Industrial Services business, our contracts are generally in the form of purchase orders issued to us by the customer. We recognize revenue upon completion of the services specified in the purchase order.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arrangements where we recognize revenue over time, we generally use the percentage of completion method of accounting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 Revenue for arrangements whose durations are short in nature is recognized when the project is complete and billable to the customer under the right to invoice practical expedient.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for our contracts may include variable consideration, which includes changes to transaction price for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either the expected probability weighted value or the most likely amount in a range of possible consideration amounts,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activity and contract type, as these categories reflect how the nature, amount, timing and uncertainty of our revenue and cash flows are affected by economic factors. During the year ended September 30, 2024, we began to disaggregate the revenue from our Residential operating segment's single-family electrical and single-family plumbing &amp; HVAC businesses, which was aggregated under our Residential single-family business in prior periods, to provide more detail about the major product lines significant to our Residential business. Our consolidated revenue for the years ended September 30, 2025, 2024 and 2023 was derived from the following activities. Prior period amounts have been reclassified to conform with the current period presentation, where applicable. See details in the following tables:</w:t>
      </w:r>
    </w:p>
    <w:tbl>
      <w:tblPr>
        <w:tblW w:w="7437" w:type="dxa"/>
        <w:jc w:val="center"/>
        <w:tblInd w:w="0" w:type="dxa"/>
        <w:tblLayout w:type="fixed"/>
        <w:tblCellMar>
          <w:top w:w="28" w:type="dxa"/>
          <w:left w:w="28" w:type="dxa"/>
          <w:bottom w:w="28" w:type="dxa"/>
          <w:right w:w="28" w:type="dxa"/>
        </w:tblCellMar>
      </w:tblPr>
      <w:tblGrid>
        <w:gridCol w:w="1032"/>
        <w:gridCol w:w="908"/>
        <w:gridCol w:w="910"/>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Electrical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Plumbing &amp; HVAC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 Engineered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Infrastructure Solutions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3"/>
        <w:gridCol w:w="263"/>
        <w:gridCol w:w="263"/>
        <w:gridCol w:w="270"/>
        <w:gridCol w:w="109"/>
        <w:gridCol w:w="109"/>
        <w:gridCol w:w="109"/>
        <w:gridCol w:w="244"/>
        <w:gridCol w:w="1130"/>
        <w:gridCol w:w="127"/>
        <w:gridCol w:w="109"/>
        <w:gridCol w:w="109"/>
        <w:gridCol w:w="109"/>
        <w:gridCol w:w="211"/>
        <w:gridCol w:w="976"/>
        <w:gridCol w:w="109"/>
        <w:gridCol w:w="109"/>
        <w:gridCol w:w="109"/>
        <w:gridCol w:w="109"/>
        <w:gridCol w:w="258"/>
        <w:gridCol w:w="1012"/>
        <w:gridCol w:w="135"/>
        <w:gridCol w:w="109"/>
        <w:gridCol w:w="109"/>
        <w:gridCol w:w="109"/>
        <w:gridCol w:w="258"/>
        <w:gridCol w:w="1012"/>
        <w:gridCol w:w="133"/>
        <w:gridCol w:w="109"/>
        <w:gridCol w:w="109"/>
        <w:gridCol w:w="109"/>
        <w:gridCol w:w="211"/>
        <w:gridCol w:w="976"/>
        <w:gridCol w:w="15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 2025</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2,937,979 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 2024</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2,596,151 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 2023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include amounts which we have billed or have an unconditional right to bill our customers. As of September 30, 2025, accounts receivable included $16,461 of unbilled receivables for which we have an unconditional right to bill.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Consolidated Balance Sheets under the caption “Billings in excess of costs and estimated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years ended September 30, 2025 and 2024, we recognized revenue of $147,995 and $98,564 related to our contract liabilities at October 1, 2024 and 2023,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have any impairment losses recognized on our receivables or contract assets for the years ended September 30, 2025, 2024 and 2023.</w:t>
      </w:r>
    </w:p>
    <w:p>
      <w:pPr>
        <w:pStyle w:val="TextBody"/>
        <w:bidi w:val="0"/>
        <w:spacing w:lineRule="auto" w:line="288" w:before="0" w:after="0"/>
        <w:jc w:val="left"/>
        <w:rPr/>
      </w:pPr>
      <w:r>
        <w:rPr>
          <w:rFonts w:ascii="Times New Roman;serif" w:hAnsi="Times New Roman;serif"/>
          <w:b w:val="false"/>
          <w:i/>
          <w:color w:val="000000"/>
          <w:sz w:val="20"/>
        </w:rPr>
        <w:t>Remaining Performance Obligations</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2025, we had remaining performance obligations of $1,686,583. The Company expects to recognize revenue on approximately $1,029,713 of the remaining performance obligations over the next 12 months, with the remaining recognized thereafter.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September 30, 2025, net revenue recognized from our performance obligations satisfied in previous periods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w:t>
      </w:r>
    </w:p>
    <w:tbl>
      <w:tblPr>
        <w:tblW w:w="8030" w:type="dxa"/>
        <w:jc w:val="left"/>
        <w:tblInd w:w="0" w:type="dxa"/>
        <w:tblLayout w:type="fixed"/>
        <w:tblCellMar>
          <w:top w:w="28" w:type="dxa"/>
          <w:left w:w="28" w:type="dxa"/>
          <w:bottom w:w="28" w:type="dxa"/>
          <w:right w:w="28" w:type="dxa"/>
        </w:tblCellMar>
      </w:tblPr>
      <w:tblGrid>
        <w:gridCol w:w="972"/>
        <w:gridCol w:w="851"/>
        <w:gridCol w:w="861"/>
        <w:gridCol w:w="298"/>
        <w:gridCol w:w="298"/>
        <w:gridCol w:w="298"/>
        <w:gridCol w:w="298"/>
        <w:gridCol w:w="298"/>
        <w:gridCol w:w="298"/>
        <w:gridCol w:w="298"/>
        <w:gridCol w:w="298"/>
        <w:gridCol w:w="298"/>
        <w:gridCol w:w="211"/>
        <w:gridCol w:w="826"/>
        <w:gridCol w:w="109"/>
        <w:gridCol w:w="109"/>
        <w:gridCol w:w="109"/>
        <w:gridCol w:w="109"/>
        <w:gridCol w:w="211"/>
        <w:gridCol w:w="82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682"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systems</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Less-Accumulated depreciation</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including amortization of internal-use software, was $28,948, $19,533 and $12,121, respectively, for the years ended September 30, 2025, 2024 and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PER SHARE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components of the basic and diluted earnings per share for the years ended September 30, 2025, 2024 and 2023: </w:t>
      </w:r>
    </w:p>
    <w:tbl>
      <w:tblPr>
        <w:tblW w:w="10205" w:type="dxa"/>
        <w:jc w:val="left"/>
        <w:tblInd w:w="0" w:type="dxa"/>
        <w:tblLayout w:type="fixed"/>
        <w:tblCellMar>
          <w:top w:w="28" w:type="dxa"/>
          <w:left w:w="28" w:type="dxa"/>
          <w:bottom w:w="28" w:type="dxa"/>
          <w:right w:w="28" w:type="dxa"/>
        </w:tblCellMar>
      </w:tblPr>
      <w:tblGrid>
        <w:gridCol w:w="2251"/>
        <w:gridCol w:w="1834"/>
        <w:gridCol w:w="1850"/>
        <w:gridCol w:w="219"/>
        <w:gridCol w:w="862"/>
        <w:gridCol w:w="109"/>
        <w:gridCol w:w="109"/>
        <w:gridCol w:w="109"/>
        <w:gridCol w:w="109"/>
        <w:gridCol w:w="219"/>
        <w:gridCol w:w="862"/>
        <w:gridCol w:w="109"/>
        <w:gridCol w:w="109"/>
        <w:gridCol w:w="109"/>
        <w:gridCol w:w="109"/>
        <w:gridCol w:w="219"/>
        <w:gridCol w:w="862"/>
        <w:gridCol w:w="155"/>
      </w:tblGrid>
      <w:tr>
        <w:trPr/>
        <w:tc>
          <w:tcPr>
            <w:tcW w:w="2251"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restricted shareholders of IES Holdings, Inc.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 of IES Holdings, Inc.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non-vested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20,182,797 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20,413,032 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shareholders of IES Holdings, Inc.:</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excluded from the computation of diluted earnings per share as the effect of their inclusion would have been anti-dilutive: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September 30, 2025, 2024 and 2023, the average price of our common stock exceeded the exercise price of outstanding stock options; therefore, all of our outstanding stock options were included in the computation of diluted earnings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 For the years ended September 30, 2025, 2024 and 2023, there were no other unvested performance awards excluded from the calculation of diluted earnings per share because the inclusion of such instruments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DETAIL OF CERTAIN BALANCE SHEET ACCOUNTS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consist of the following:</w:t>
      </w:r>
    </w:p>
    <w:tbl>
      <w:tblPr>
        <w:tblW w:w="6038" w:type="dxa"/>
        <w:jc w:val="left"/>
        <w:tblInd w:w="0" w:type="dxa"/>
        <w:tblLayout w:type="fixed"/>
        <w:tblCellMar>
          <w:top w:w="28" w:type="dxa"/>
          <w:left w:w="28" w:type="dxa"/>
          <w:bottom w:w="28" w:type="dxa"/>
          <w:right w:w="28" w:type="dxa"/>
        </w:tblCellMar>
      </w:tblPr>
      <w:tblGrid>
        <w:gridCol w:w="1222"/>
        <w:gridCol w:w="1074"/>
        <w:gridCol w:w="1078"/>
        <w:gridCol w:w="211"/>
        <w:gridCol w:w="826"/>
        <w:gridCol w:w="109"/>
        <w:gridCol w:w="109"/>
        <w:gridCol w:w="109"/>
        <w:gridCol w:w="109"/>
        <w:gridCol w:w="211"/>
        <w:gridCol w:w="82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January 21, 2025, we were a party to the Third Amended and Restated Credit and Security Agreement (the “Third Credit Agreement”), which provided for a maximum borrowing amount of $150,000 under our revolving credit facility. Borrowings were limited by a borrowing base determined based on available collateral. The Third Credit Agreement, which was scheduled to mature on September 30, 2026, contained customary affirmative, negative and financial covenants.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Fourth Amended and Restated Credit and Security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January 21, 2025, we entered into the Fourth Amended and Restated Credit Agreement (the “Amended Credit Agreement”). Pursuant to the Amended Credit Agreement, our revolver amount increased from $150,000 to $300,000, and the maturity date was extended from September 30, 2026, to January 21, 2030. In addition, the limitation on borrowings based on available collateral was eliminated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September 30, 2025,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had no outstanding borrowings as of September 30, 2025 or 2024. At September 30, 2025, we had $5,545 in outstanding letters of credit and $294,455 of availability under our revolving credit facility.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left"/>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 were $26,128 and $21,981, respectively, as of September 30, 2025 and 2024, and current finance lease liabilities were $4,198 and $4,563, respectively, as of September 30, 2025 and 2024. Current operating and finance lease liabilities were included in "Accounts payable and accrued expenses" in the Consolidated Balance Sheets as of September 30, 2025 and 2024. Non-current finance lease liabilities and finance lease right-of-use assets were included in the "Other non-current liabilities" and "Other non-current assets", respectively, in the Consolidated Balance Sheets.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maturities of our lease liabilities as of September 30, 2025, are as follows:</w:t>
      </w:r>
    </w:p>
    <w:tbl>
      <w:tblPr>
        <w:tblW w:w="7664" w:type="dxa"/>
        <w:jc w:val="left"/>
        <w:tblInd w:w="0" w:type="dxa"/>
        <w:tblLayout w:type="fixed"/>
        <w:tblCellMar>
          <w:top w:w="28" w:type="dxa"/>
          <w:left w:w="28" w:type="dxa"/>
          <w:bottom w:w="28" w:type="dxa"/>
          <w:right w:w="28" w:type="dxa"/>
        </w:tblCellMar>
      </w:tblPr>
      <w:tblGrid>
        <w:gridCol w:w="1079"/>
        <w:gridCol w:w="946"/>
        <w:gridCol w:w="960"/>
        <w:gridCol w:w="276"/>
        <w:gridCol w:w="1081"/>
        <w:gridCol w:w="142"/>
        <w:gridCol w:w="109"/>
        <w:gridCol w:w="109"/>
        <w:gridCol w:w="109"/>
        <w:gridCol w:w="301"/>
        <w:gridCol w:w="879"/>
        <w:gridCol w:w="155"/>
        <w:gridCol w:w="109"/>
        <w:gridCol w:w="109"/>
        <w:gridCol w:w="109"/>
        <w:gridCol w:w="211"/>
        <w:gridCol w:w="82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total future undiscounted cash flows related to lease agreements committed to but not yet commenced as of September 30, 2025, is $5,959.</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Lease cost recognized in our Consolidated Statements of Comprehensive Income is summarized as follows:</w:t>
      </w:r>
    </w:p>
    <w:tbl>
      <w:tblPr>
        <w:tblW w:w="6191" w:type="dxa"/>
        <w:jc w:val="left"/>
        <w:tblInd w:w="0" w:type="dxa"/>
        <w:tblLayout w:type="fixed"/>
        <w:tblCellMar>
          <w:top w:w="28" w:type="dxa"/>
          <w:left w:w="28" w:type="dxa"/>
          <w:bottom w:w="28" w:type="dxa"/>
          <w:right w:w="28" w:type="dxa"/>
        </w:tblCellMar>
      </w:tblPr>
      <w:tblGrid>
        <w:gridCol w:w="857"/>
        <w:gridCol w:w="753"/>
        <w:gridCol w:w="759"/>
        <w:gridCol w:w="211"/>
        <w:gridCol w:w="721"/>
        <w:gridCol w:w="109"/>
        <w:gridCol w:w="109"/>
        <w:gridCol w:w="109"/>
        <w:gridCol w:w="109"/>
        <w:gridCol w:w="211"/>
        <w:gridCol w:w="721"/>
        <w:gridCol w:w="109"/>
        <w:gridCol w:w="109"/>
        <w:gridCol w:w="109"/>
        <w:gridCol w:w="109"/>
        <w:gridCol w:w="211"/>
        <w:gridCol w:w="72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cost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information about lease amounts recognized in our Consolidated Financial Statements is summarized as follows:</w:t>
      </w:r>
    </w:p>
    <w:tbl>
      <w:tblPr>
        <w:tblW w:w="10016" w:type="dxa"/>
        <w:jc w:val="center"/>
        <w:tblInd w:w="0" w:type="dxa"/>
        <w:tblLayout w:type="fixed"/>
        <w:tblCellMar>
          <w:top w:w="28" w:type="dxa"/>
          <w:left w:w="28" w:type="dxa"/>
          <w:bottom w:w="28" w:type="dxa"/>
          <w:right w:w="28" w:type="dxa"/>
        </w:tblCellMar>
      </w:tblPr>
      <w:tblGrid>
        <w:gridCol w:w="2242"/>
        <w:gridCol w:w="1969"/>
        <w:gridCol w:w="1983"/>
        <w:gridCol w:w="211"/>
        <w:gridCol w:w="721"/>
        <w:gridCol w:w="109"/>
        <w:gridCol w:w="109"/>
        <w:gridCol w:w="109"/>
        <w:gridCol w:w="109"/>
        <w:gridCol w:w="211"/>
        <w:gridCol w:w="721"/>
        <w:gridCol w:w="109"/>
        <w:gridCol w:w="109"/>
        <w:gridCol w:w="109"/>
        <w:gridCol w:w="109"/>
        <w:gridCol w:w="211"/>
        <w:gridCol w:w="721"/>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tbl>
      <w:tblPr>
        <w:tblW w:w="7170" w:type="dxa"/>
        <w:jc w:val="center"/>
        <w:tblInd w:w="0" w:type="dxa"/>
        <w:tblLayout w:type="fixed"/>
        <w:tblCellMar>
          <w:top w:w="28" w:type="dxa"/>
          <w:left w:w="28" w:type="dxa"/>
          <w:bottom w:w="28" w:type="dxa"/>
          <w:right w:w="28" w:type="dxa"/>
        </w:tblCellMar>
      </w:tblPr>
      <w:tblGrid>
        <w:gridCol w:w="1734"/>
        <w:gridCol w:w="1522"/>
        <w:gridCol w:w="1528"/>
        <w:gridCol w:w="232"/>
        <w:gridCol w:w="185"/>
        <w:gridCol w:w="460"/>
        <w:gridCol w:w="185"/>
        <w:gridCol w:w="185"/>
        <w:gridCol w:w="185"/>
        <w:gridCol w:w="232"/>
        <w:gridCol w:w="185"/>
        <w:gridCol w:w="537"/>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years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years</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leases with certain related parties which are included above, see Note 13, “Related-Party Transactions.”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Rent expense was $27,149, $23,491 and $20,384 for the years ended September 30, 2025, 2024 and 2023,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provisions are as follows:</w:t>
      </w:r>
    </w:p>
    <w:tbl>
      <w:tblPr>
        <w:tblW w:w="6581" w:type="dxa"/>
        <w:jc w:val="left"/>
        <w:tblInd w:w="0" w:type="dxa"/>
        <w:tblLayout w:type="fixed"/>
        <w:tblCellMar>
          <w:top w:w="28" w:type="dxa"/>
          <w:left w:w="28" w:type="dxa"/>
          <w:bottom w:w="28" w:type="dxa"/>
          <w:right w:w="28" w:type="dxa"/>
        </w:tblCellMar>
      </w:tblPr>
      <w:tblGrid>
        <w:gridCol w:w="1032"/>
        <w:gridCol w:w="854"/>
        <w:gridCol w:w="873"/>
        <w:gridCol w:w="211"/>
        <w:gridCol w:w="721"/>
        <w:gridCol w:w="109"/>
        <w:gridCol w:w="109"/>
        <w:gridCol w:w="109"/>
        <w:gridCol w:w="109"/>
        <w:gridCol w:w="211"/>
        <w:gridCol w:w="721"/>
        <w:gridCol w:w="109"/>
        <w:gridCol w:w="109"/>
        <w:gridCol w:w="109"/>
        <w:gridCol w:w="109"/>
        <w:gridCol w:w="211"/>
        <w:gridCol w:w="72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Actual income tax expense differs from income tax expense computed by applying the U.S. federal statutory corporate rate to income (loss) before income taxes as follows:</w:t>
      </w:r>
    </w:p>
    <w:tbl>
      <w:tblPr>
        <w:tblW w:w="10062" w:type="dxa"/>
        <w:jc w:val="left"/>
        <w:tblInd w:w="0" w:type="dxa"/>
        <w:tblLayout w:type="fixed"/>
        <w:tblCellMar>
          <w:top w:w="28" w:type="dxa"/>
          <w:left w:w="28" w:type="dxa"/>
          <w:bottom w:w="28" w:type="dxa"/>
          <w:right w:w="28" w:type="dxa"/>
        </w:tblCellMar>
      </w:tblPr>
      <w:tblGrid>
        <w:gridCol w:w="2260"/>
        <w:gridCol w:w="1987"/>
        <w:gridCol w:w="1993"/>
        <w:gridCol w:w="211"/>
        <w:gridCol w:w="721"/>
        <w:gridCol w:w="109"/>
        <w:gridCol w:w="109"/>
        <w:gridCol w:w="109"/>
        <w:gridCol w:w="109"/>
        <w:gridCol w:w="211"/>
        <w:gridCol w:w="721"/>
        <w:gridCol w:w="109"/>
        <w:gridCol w:w="109"/>
        <w:gridCol w:w="109"/>
        <w:gridCol w:w="109"/>
        <w:gridCol w:w="211"/>
        <w:gridCol w:w="721"/>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at the federal statutory rate, including equity method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resulting from: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deduction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 including stock incentives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resulting from: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tbl>
      <w:tblPr>
        <w:tblW w:w="5483" w:type="dxa"/>
        <w:jc w:val="left"/>
        <w:tblInd w:w="0" w:type="dxa"/>
        <w:tblLayout w:type="fixed"/>
        <w:tblCellMar>
          <w:top w:w="28" w:type="dxa"/>
          <w:left w:w="28" w:type="dxa"/>
          <w:bottom w:w="28" w:type="dxa"/>
          <w:right w:w="28" w:type="dxa"/>
        </w:tblCellMar>
      </w:tblPr>
      <w:tblGrid>
        <w:gridCol w:w="1099"/>
        <w:gridCol w:w="963"/>
        <w:gridCol w:w="967"/>
        <w:gridCol w:w="211"/>
        <w:gridCol w:w="721"/>
        <w:gridCol w:w="109"/>
        <w:gridCol w:w="109"/>
        <w:gridCol w:w="109"/>
        <w:gridCol w:w="109"/>
        <w:gridCol w:w="211"/>
        <w:gridCol w:w="72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Partnerships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fiscal 2025 and 2024, the valuation allowance on our deferred tax assets decreased by $72 and increased by $138, respectively, which is included in “Provision for income taxes” in our Consolidated Statements of Comprehensive Income.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available approximately $3,785 of federal net tax operating loss carry forward for federal income tax purposes. This carry forward, which may provide future tax benefits, is subject to an annual limitation of $709 under Section 382 of the Internal Revenue Code and will begin to expire in 2029. As of September 30, 2025, we had available approximately $41,689 state net tax operating loss carry forwards, which will begin to expire in 2026. We have provided valuation allowances on all net operating losses where it is determined it is more likely than not that they will expire without being utilized.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unrecognized tax benefit is as follows:</w:t>
      </w:r>
    </w:p>
    <w:tbl>
      <w:tblPr>
        <w:tblW w:w="8589" w:type="dxa"/>
        <w:jc w:val="left"/>
        <w:tblInd w:w="0" w:type="dxa"/>
        <w:tblLayout w:type="fixed"/>
        <w:tblCellMar>
          <w:top w:w="28" w:type="dxa"/>
          <w:left w:w="28" w:type="dxa"/>
          <w:bottom w:w="28" w:type="dxa"/>
          <w:right w:w="28" w:type="dxa"/>
        </w:tblCellMar>
      </w:tblPr>
      <w:tblGrid>
        <w:gridCol w:w="2223"/>
        <w:gridCol w:w="1952"/>
        <w:gridCol w:w="1960"/>
        <w:gridCol w:w="211"/>
        <w:gridCol w:w="721"/>
        <w:gridCol w:w="109"/>
        <w:gridCol w:w="109"/>
        <w:gridCol w:w="109"/>
        <w:gridCol w:w="109"/>
        <w:gridCol w:w="211"/>
        <w:gridCol w:w="721"/>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resulting from the lapse of the applicable statutes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2024, there are $5,637 and $16,881, respectively, of unrecognized tax benefits that, if recognized, would affect the annual effective tax rate. We anticipate that approximately $2,855 in liabilities for unrecognized tax benefits, including accrued interest, may be reversed in the next twelve months. The reversal is predominantly due to the expiration of the statute of limitation for unrecognized tax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had approximately $1,017 and $1,452 accrued for the payment of interest and penalties at September 30, 2025 and 2024, respectively. We recognize interest and penalties related to unrecognized tax benefits as part of the provision for income taxes.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years ended September 30, 2022, and forward are subject to federal audit as are tax years prior to September 30, 2022, to the extent of unutilized net operating losses generated in those years. The tax years ended September 30, 2021, and forward are subject to state audits as are tax years prior to September 30, 2021, to the extent of unutilized net operating losses generated in those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(the “Act”), a comprehensive legislative package that includes significant changes to federal tax policy. The Act, among other corporate provisions, includes the permanent extension of 100% bonus depreciation and the repeal of mandatory capitalization of domestic research and experimental expenditures. For the year ended September 30, 2025, there were no material impacts to earnings resulting from the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OPERATING SEGMENTS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manage and measure performance of our business in four distinct operating segments: Communications, Residential, Infrastructure Solutions and Commercial &amp; Industrial. These segments are reflective of how the Company’s CODM reviews operating results for the purposes of allocating resources and assessing performance. The CODM primarily uses “Income (loss) from operations” for each operating segment to assess performance and decide how to allocate resources. Investment gains and losses and certain other corporate income and expense items are not considered in assessing the financial performance of operating businesses. In evaluating performance of the operating businesses, the CODM may compare actual income from operations for a segment to its forecast or prior year results. The Company’s CODM is its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between segments, if any, are eliminated in consolidation. Our corporate office provides general and administrative services, as well as support services, to our four operating segments. Management allocates certain shared costs among segments for selling, general and administrative expenses and depreciation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years ended September 30, 2025, 2024 and 2023 is as follows:</w:t>
      </w:r>
    </w:p>
    <w:p>
      <w:pPr>
        <w:pStyle w:val="TextBody"/>
        <w:bidi w:val="0"/>
        <w:spacing w:before="0" w:after="0"/>
        <w:jc w:val="both"/>
        <w:rPr/>
      </w:pPr>
      <w:r>
        <w:rPr/>
      </w:r>
    </w:p>
    <w:tbl>
      <w:tblPr>
        <w:tblW w:w="10665" w:type="dxa"/>
        <w:jc w:val="left"/>
        <w:tblInd w:w="0" w:type="dxa"/>
        <w:tblLayout w:type="fixed"/>
        <w:tblCellMar>
          <w:top w:w="28" w:type="dxa"/>
          <w:left w:w="28" w:type="dxa"/>
          <w:bottom w:w="28" w:type="dxa"/>
          <w:right w:w="28" w:type="dxa"/>
        </w:tblCellMar>
      </w:tblPr>
      <w:tblGrid>
        <w:gridCol w:w="233"/>
        <w:gridCol w:w="205"/>
        <w:gridCol w:w="205"/>
        <w:gridCol w:w="415"/>
        <w:gridCol w:w="415"/>
        <w:gridCol w:w="176"/>
        <w:gridCol w:w="212"/>
        <w:gridCol w:w="983"/>
        <w:gridCol w:w="111"/>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 2025</w:t>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876,037 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assets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65" w:type="dxa"/>
        <w:jc w:val="left"/>
        <w:tblInd w:w="0" w:type="dxa"/>
        <w:tblLayout w:type="fixed"/>
        <w:tblCellMar>
          <w:top w:w="28" w:type="dxa"/>
          <w:left w:w="28" w:type="dxa"/>
          <w:bottom w:w="28" w:type="dxa"/>
          <w:right w:w="28" w:type="dxa"/>
        </w:tblCellMar>
      </w:tblPr>
      <w:tblGrid>
        <w:gridCol w:w="233"/>
        <w:gridCol w:w="205"/>
        <w:gridCol w:w="205"/>
        <w:gridCol w:w="415"/>
        <w:gridCol w:w="415"/>
        <w:gridCol w:w="176"/>
        <w:gridCol w:w="240"/>
        <w:gridCol w:w="941"/>
        <w:gridCol w:w="125"/>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 2024</w:t>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665" w:type="dxa"/>
        <w:jc w:val="left"/>
        <w:tblInd w:w="0" w:type="dxa"/>
        <w:tblLayout w:type="fixed"/>
        <w:tblCellMar>
          <w:top w:w="28" w:type="dxa"/>
          <w:left w:w="28" w:type="dxa"/>
          <w:bottom w:w="28" w:type="dxa"/>
          <w:right w:w="28" w:type="dxa"/>
        </w:tblCellMar>
      </w:tblPr>
      <w:tblGrid>
        <w:gridCol w:w="233"/>
        <w:gridCol w:w="205"/>
        <w:gridCol w:w="205"/>
        <w:gridCol w:w="415"/>
        <w:gridCol w:w="415"/>
        <w:gridCol w:w="176"/>
        <w:gridCol w:w="240"/>
        <w:gridCol w:w="941"/>
        <w:gridCol w:w="125"/>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 2023</w:t>
            </w:r>
          </w:p>
        </w:tc>
      </w:tr>
      <w:tr>
        <w:trPr/>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2006 Equity Incentive Plan, as amended and restated (the “Equity Incentive Plan”), provides for grants of stock options as well as grants of stock, including restricted stock. The Equity Incentive Plan was amended and restated effective February 20, 2025 following approval by stockholders at the Company's 2025 Annual Meeting of Stockholders to, among other things, authorize the issuance of an additional 750,000 shares under the Equity Incentive Plan and extend its term to February 19, 2035. As of September 30, 2025, approximately 1,265,801 shares were available for issuance under the Equity Incentive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2015, our Board authorized a stock repurchase program for the purchase from time to time of up to 1.5 million shares of the Company’s common stock, and in 2019, our Board authorized the repurchase from time to time of an additional 1.0 million shares of the Company's common stock under the stock repurchase program. In December 2022, our Board of Directors terminated our previous stock repurchase program and authorized a new $40,000 stock repurchase program. On July 31, 2024, the Board authorized a new $200,000 stock repurchase program after the $40,000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repurchased 173,262 and 289,284 shares of our common stock in open market transactions at an average price of $174.25 and $136.34 per share during the years ended September 30, 2025 and 2024,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September 30, 2025, we issued 94,799 shares of treasury stock to employees and repurchased 38,744 shares of common stock from our employees to satisfy statutory tax withholding requirements upon the vesting of certain performance phantom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units under the Equity Incentive Plan. We also repurchased 173,262 shares of common stock on the open market pursuant to our stock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September 30, 2024, we issued 104,600 shares of treasury stock to employees and repurchased 40,308 shares of common stock from our employees to satisfy statutory tax withholding requirements upon the vesting of certain performance phantom stock units under the Equity Incentive Plan. We also repurchased 289,284 shares of common stock on the open market pursuant to our stock repurchase program. During the year ended September 30, 2024, we issued 2,500 unrestricted shares to satisfy the exercise of outstanding options, of which 56 shares were repurchased to pay the exercise price of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have any unvested restricted stock awards outstanding or related activity during the years ended September 30, 2025 and 2024. A summary of restricted stock awards for the year ended September 30, 2023 is provided in the table below:</w:t>
      </w:r>
    </w:p>
    <w:p>
      <w:pPr>
        <w:pStyle w:val="TextBody"/>
        <w:bidi w:val="0"/>
        <w:spacing w:before="0" w:after="0"/>
        <w:jc w:val="left"/>
        <w:rPr/>
      </w:pPr>
      <w:r>
        <w:rPr/>
      </w:r>
    </w:p>
    <w:tbl>
      <w:tblPr>
        <w:tblW w:w="5951" w:type="dxa"/>
        <w:jc w:val="center"/>
        <w:tblInd w:w="0" w:type="dxa"/>
        <w:tblLayout w:type="fixed"/>
        <w:tblCellMar>
          <w:top w:w="28" w:type="dxa"/>
          <w:left w:w="28" w:type="dxa"/>
          <w:bottom w:w="28" w:type="dxa"/>
          <w:right w:w="28" w:type="dxa"/>
        </w:tblCellMar>
      </w:tblPr>
      <w:tblGrid>
        <w:gridCol w:w="929"/>
        <w:gridCol w:w="817"/>
        <w:gridCol w:w="819"/>
        <w:gridCol w:w="109"/>
        <w:gridCol w:w="320"/>
        <w:gridCol w:w="320"/>
        <w:gridCol w:w="320"/>
        <w:gridCol w:w="320"/>
        <w:gridCol w:w="320"/>
        <w:gridCol w:w="320"/>
        <w:gridCol w:w="325"/>
        <w:gridCol w:w="396"/>
        <w:gridCol w:w="399"/>
        <w:gridCol w:w="237"/>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c>
          <w:tcPr>
            <w:tcW w:w="1032" w:type="dxa"/>
            <w:gridSpan w:val="3"/>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shares vesting during the year ended September 30, 2023 was $461. Fair value was calculated as the number of shares vested times the market price of shares on the date of 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the restricted shares granted under the Equity Incentive Plan (vested or unvested) participate in dividends issued to common shareholders, if 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Director Phantom Stock Units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We record compensation expense for the full value of the grant on the date of grant.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Employee Phantom Stock Units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vesting of these awards is subject to either the achievement of specified levels of cumulative net income before taxes (a performance condition) or specified stock price levels (a market condition) and continued performance of services, or based on continued performance of services through the vesting date alone. For stock awards where vesting depends on achievement of a performance condition, we record expense when we conclude it is probable that the performance condition will be met. At September 30, 2025, it is deemed probable that the portion of the awards that vest based on performance conditions will vest.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Employee PSU activity for the year ended September 30, 2025, which are subject to the achievement of certain performance metrics, is provided in the table below:</w:t>
      </w:r>
    </w:p>
    <w:tbl>
      <w:tblPr>
        <w:tblW w:w="7589" w:type="dxa"/>
        <w:jc w:val="center"/>
        <w:tblInd w:w="0" w:type="dxa"/>
        <w:tblLayout w:type="fixed"/>
        <w:tblCellMar>
          <w:top w:w="28" w:type="dxa"/>
          <w:left w:w="28" w:type="dxa"/>
          <w:bottom w:w="28" w:type="dxa"/>
          <w:right w:w="28" w:type="dxa"/>
        </w:tblCellMar>
      </w:tblPr>
      <w:tblGrid>
        <w:gridCol w:w="993"/>
        <w:gridCol w:w="875"/>
        <w:gridCol w:w="877"/>
        <w:gridCol w:w="413"/>
        <w:gridCol w:w="413"/>
        <w:gridCol w:w="211"/>
        <w:gridCol w:w="109"/>
        <w:gridCol w:w="109"/>
        <w:gridCol w:w="109"/>
        <w:gridCol w:w="675"/>
        <w:gridCol w:w="2311"/>
        <w:gridCol w:w="49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248.33 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compensation expense related to our stock awards recognized during the years ended September 30, 2025, 2024 and 2023 is provided in the table below:</w:t>
      </w:r>
    </w:p>
    <w:p>
      <w:pPr>
        <w:pStyle w:val="TextBody"/>
        <w:bidi w:val="0"/>
        <w:spacing w:before="0" w:after="0"/>
        <w:jc w:val="both"/>
        <w:rPr/>
      </w:pPr>
      <w:r>
        <w:rPr/>
      </w:r>
    </w:p>
    <w:tbl>
      <w:tblPr>
        <w:tblW w:w="5636" w:type="dxa"/>
        <w:jc w:val="center"/>
        <w:tblInd w:w="0" w:type="dxa"/>
        <w:tblLayout w:type="fixed"/>
        <w:tblCellMar>
          <w:top w:w="28" w:type="dxa"/>
          <w:left w:w="28" w:type="dxa"/>
          <w:bottom w:w="28" w:type="dxa"/>
          <w:right w:w="28" w:type="dxa"/>
        </w:tblCellMar>
      </w:tblPr>
      <w:tblGrid>
        <w:gridCol w:w="732"/>
        <w:gridCol w:w="644"/>
        <w:gridCol w:w="648"/>
        <w:gridCol w:w="211"/>
        <w:gridCol w:w="721"/>
        <w:gridCol w:w="109"/>
        <w:gridCol w:w="109"/>
        <w:gridCol w:w="109"/>
        <w:gridCol w:w="109"/>
        <w:gridCol w:w="211"/>
        <w:gridCol w:w="616"/>
        <w:gridCol w:w="109"/>
        <w:gridCol w:w="109"/>
        <w:gridCol w:w="109"/>
        <w:gridCol w:w="109"/>
        <w:gridCol w:w="211"/>
        <w:gridCol w:w="61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PSUs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RELATED-PARTY TRANSACTIONS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On August 1, 2024, the Company entered into an amendment of the sublease agreement to extend the term of the agreement through September 30, 2025, effective September 1, 2024. On August 1, 2025, the Company entered into an amendment of the sublease agreement to extend the term of the agreement through September 30, 2026. Payments by the Company are at a rate consistent with that paid by Tontine Associates to its landlord. See Note 3, “Controlling Shareholder” for additional information regarding Tontine.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EMPLOYEE BENEFIT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401(k)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$7,414, $6,163, and $5,309 in matching expenses in fiscal years 2025, 2024 and 2023,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Executive Savings Plan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2025, 2024 and 2023 was deferred under this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Multiemployer Pension Plan</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Infrastructure Solutions segment participates in a multiemployer direct benefit pension plan for employees covered under one of our collective bargaining agreements. We do not administer the plan. We do not significantly participate in this plan. As of December 31, 2024, this plan was funded at 95.02%.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15. INVESTMENTS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 in Marketable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 in marketable equity and debt securities classified as trading securities, which were included in “Marketable securities” in our Consolidated Balance Sheets, are measured at fair value on a recurring basis and classified within Level 1 of the fair value hierarchy, because we use quoted prices of identical assets in active markets. For more information, refer to Note 16, “Fair Value Measurements.” The balance of our marketable securities was as follows:</w:t>
      </w:r>
    </w:p>
    <w:tbl>
      <w:tblPr>
        <w:tblW w:w="4804" w:type="dxa"/>
        <w:jc w:val="left"/>
        <w:tblInd w:w="0" w:type="dxa"/>
        <w:tblLayout w:type="fixed"/>
        <w:tblCellMar>
          <w:top w:w="28" w:type="dxa"/>
          <w:left w:w="28" w:type="dxa"/>
          <w:bottom w:w="28" w:type="dxa"/>
          <w:right w:w="28" w:type="dxa"/>
        </w:tblCellMar>
      </w:tblPr>
      <w:tblGrid>
        <w:gridCol w:w="881"/>
        <w:gridCol w:w="772"/>
        <w:gridCol w:w="777"/>
        <w:gridCol w:w="413"/>
        <w:gridCol w:w="413"/>
        <w:gridCol w:w="176"/>
        <w:gridCol w:w="138"/>
        <w:gridCol w:w="138"/>
        <w:gridCol w:w="138"/>
        <w:gridCol w:w="360"/>
        <w:gridCol w:w="361"/>
        <w:gridCol w:w="237"/>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debt securities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to measure our investments in marketable equity and debt securities at fair value were included in “Other income, net” on our Consolidated Statements of Comprehensive Income. Our unrealized net gains (losses), which are calculated as total net gains (losses) recognized during the period less net gains (losses) recognized on securities sold during the period, were as follows:</w:t>
      </w:r>
    </w:p>
    <w:p>
      <w:pPr>
        <w:pStyle w:val="TextBody"/>
        <w:bidi w:val="0"/>
        <w:spacing w:before="0" w:after="0"/>
        <w:jc w:val="left"/>
        <w:rPr/>
      </w:pPr>
      <w:r>
        <w:rPr/>
      </w:r>
    </w:p>
    <w:tbl>
      <w:tblPr>
        <w:tblW w:w="6851" w:type="dxa"/>
        <w:jc w:val="center"/>
        <w:tblInd w:w="0" w:type="dxa"/>
        <w:tblLayout w:type="fixed"/>
        <w:tblCellMar>
          <w:top w:w="28" w:type="dxa"/>
          <w:left w:w="28" w:type="dxa"/>
          <w:bottom w:w="28" w:type="dxa"/>
          <w:right w:w="28" w:type="dxa"/>
        </w:tblCellMar>
      </w:tblPr>
      <w:tblGrid>
        <w:gridCol w:w="1287"/>
        <w:gridCol w:w="1130"/>
        <w:gridCol w:w="1137"/>
        <w:gridCol w:w="211"/>
        <w:gridCol w:w="616"/>
        <w:gridCol w:w="109"/>
        <w:gridCol w:w="109"/>
        <w:gridCol w:w="109"/>
        <w:gridCol w:w="109"/>
        <w:gridCol w:w="211"/>
        <w:gridCol w:w="616"/>
        <w:gridCol w:w="109"/>
        <w:gridCol w:w="109"/>
        <w:gridCol w:w="109"/>
        <w:gridCol w:w="109"/>
        <w:gridCol w:w="211"/>
        <w:gridCol w:w="40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September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equity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 on trading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2, 2024, we paid $44,900 to acquire a 12.5% membership interest in Jett Texas Company LLC (“Jett”), an investment company, as part of the financing of Jett's investment in the CB&amp;I storage solutions business, a designer and builder of storage facilities, tanks and terminals for energy and industrial markets. Our investment, which was included in “Investments” on our Consolidated Balance Sheets, is measured using the equity method of accounting, wherein the carrying value of our investment is initially recorded at cost basis and subsequently adjusted for our proportionate share of earnings or losses, additional investments, and distributions. We recorded $14,762 in earnings from our investment in Jett for the year ended September 30, 2025, and the carrying value of our investment in Jett was $59,662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At September 30, 2025, financial assets and liabilities measured at fair value on a recurring basis were limited to investments in equity securities and debt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(liabilities) measured at fair value on a recurring basis as of September 30, 2025 and 2024, are summarized in the following tables by the type of inputs applicable to the fair value measurements:</w:t>
      </w:r>
    </w:p>
    <w:tbl>
      <w:tblPr>
        <w:tblW w:w="9997" w:type="dxa"/>
        <w:jc w:val="left"/>
        <w:tblInd w:w="0" w:type="dxa"/>
        <w:tblLayout w:type="fixed"/>
        <w:tblCellMar>
          <w:top w:w="28" w:type="dxa"/>
          <w:left w:w="28" w:type="dxa"/>
          <w:bottom w:w="28" w:type="dxa"/>
          <w:right w:w="28" w:type="dxa"/>
        </w:tblCellMar>
      </w:tblPr>
      <w:tblGrid>
        <w:gridCol w:w="1054"/>
        <w:gridCol w:w="925"/>
        <w:gridCol w:w="930"/>
        <w:gridCol w:w="262"/>
        <w:gridCol w:w="1027"/>
        <w:gridCol w:w="135"/>
        <w:gridCol w:w="109"/>
        <w:gridCol w:w="109"/>
        <w:gridCol w:w="109"/>
        <w:gridCol w:w="370"/>
        <w:gridCol w:w="1449"/>
        <w:gridCol w:w="191"/>
        <w:gridCol w:w="109"/>
        <w:gridCol w:w="109"/>
        <w:gridCol w:w="109"/>
        <w:gridCol w:w="635"/>
        <w:gridCol w:w="1900"/>
        <w:gridCol w:w="465"/>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(Level 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87"/>
        <w:gridCol w:w="1093"/>
        <w:gridCol w:w="1098"/>
        <w:gridCol w:w="279"/>
        <w:gridCol w:w="955"/>
        <w:gridCol w:w="144"/>
        <w:gridCol w:w="109"/>
        <w:gridCol w:w="109"/>
        <w:gridCol w:w="109"/>
        <w:gridCol w:w="383"/>
        <w:gridCol w:w="1313"/>
        <w:gridCol w:w="198"/>
        <w:gridCol w:w="109"/>
        <w:gridCol w:w="109"/>
        <w:gridCol w:w="109"/>
        <w:gridCol w:w="592"/>
        <w:gridCol w:w="1771"/>
        <w:gridCol w:w="438"/>
      </w:tblGrid>
      <w:tr>
        <w:trPr/>
        <w:tc>
          <w:tcPr>
            <w:tcW w:w="12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(Level 3)</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classified as trading securities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2024, we entered into a contingent consideration arrangement valued at $2,790 in connection with the acquisition of Greiner Industries, Inc. (“Greiner”). A portion of the contingent consideration obligation related to Greiner was settled in cash for $2,500 in September 2025. The fair value of this liability, which was included in “Accounts payable and accrued expenses” in our Consolidated Balance Sheets, is measured on a recurring basis classified within Level 3 of the fair value hierarchy. The contingent consideration obligation related to Bayonet, which was acquired in fiscal year 2021, was settled in cash for $4,500 in December 2023. Net adjustments to fair value of such liabilities related to Greiner and Bayonet were included in Contingent consideration in our Consolidated Statements of Comprehensive Income.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change in fair value of liabilities measured using significant unobservable inputs (Level 3).</w:t>
      </w:r>
    </w:p>
    <w:tbl>
      <w:tblPr>
        <w:tblW w:w="6000" w:type="dxa"/>
        <w:jc w:val="center"/>
        <w:tblInd w:w="0" w:type="dxa"/>
        <w:tblLayout w:type="fixed"/>
        <w:tblCellMar>
          <w:top w:w="28" w:type="dxa"/>
          <w:left w:w="28" w:type="dxa"/>
          <w:bottom w:w="28" w:type="dxa"/>
          <w:right w:w="28" w:type="dxa"/>
        </w:tblCellMar>
      </w:tblPr>
      <w:tblGrid>
        <w:gridCol w:w="1009"/>
        <w:gridCol w:w="889"/>
        <w:gridCol w:w="892"/>
        <w:gridCol w:w="678"/>
        <w:gridCol w:w="2033"/>
        <w:gridCol w:w="499"/>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Contingent Consideration Agreement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September 30, 2023</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adjustments to fair value</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2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September 30, 2024</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adjustments to fair value</w:t>
            </w:r>
          </w:p>
        </w:tc>
        <w:tc>
          <w:tcPr>
            <w:tcW w:w="2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2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September 30, 2025</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is a description of the inputs used to value the assets summarized in the preceding tables: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Level 1</w:t>
      </w:r>
      <w:r>
        <w:rPr>
          <w:color w:val="000000"/>
        </w:rPr>
        <w:t xml:space="preserve"> — </w:t>
      </w:r>
      <w:r>
        <w:rPr>
          <w:rFonts w:ascii="Times New Roman;serif" w:hAnsi="Times New Roman;serif"/>
          <w:b w:val="false"/>
          <w:color w:val="000000"/>
          <w:sz w:val="20"/>
        </w:rPr>
        <w:t>Inputs represent unadjusted quoted prices for identical assets exchanged in active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Level 2</w:t>
      </w:r>
      <w:r>
        <w:rPr>
          <w:color w:val="000000"/>
        </w:rPr>
        <w:t xml:space="preserve"> — </w:t>
      </w:r>
      <w:r>
        <w:rPr>
          <w:rFonts w:ascii="Times New Roman;serif" w:hAnsi="Times New Roman;serif"/>
          <w:b w:val="false"/>
          <w:color w:val="000000"/>
          <w:sz w:val="20"/>
        </w:rPr>
        <w:t>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rPr>
        <w:t>Level 3</w:t>
      </w:r>
      <w:r>
        <w:rPr>
          <w:color w:val="000000"/>
        </w:rPr>
        <w:t xml:space="preserve"> — </w:t>
      </w:r>
      <w:r>
        <w:rPr>
          <w:rFonts w:ascii="Times New Roman;serif" w:hAnsi="Times New Roman;serif"/>
          <w:b w:val="false"/>
          <w:color w:val="000000"/>
          <w:sz w:val="20"/>
        </w:rPr>
        <w:t>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17. INVENTORY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components:</w:t>
      </w:r>
    </w:p>
    <w:tbl>
      <w:tblPr>
        <w:tblW w:w="4239" w:type="dxa"/>
        <w:jc w:val="center"/>
        <w:tblInd w:w="0" w:type="dxa"/>
        <w:tblLayout w:type="fixed"/>
        <w:tblCellMar>
          <w:top w:w="28" w:type="dxa"/>
          <w:left w:w="28" w:type="dxa"/>
          <w:bottom w:w="28" w:type="dxa"/>
          <w:right w:w="28" w:type="dxa"/>
        </w:tblCellMar>
      </w:tblPr>
      <w:tblGrid>
        <w:gridCol w:w="570"/>
        <w:gridCol w:w="501"/>
        <w:gridCol w:w="504"/>
        <w:gridCol w:w="211"/>
        <w:gridCol w:w="826"/>
        <w:gridCol w:w="109"/>
        <w:gridCol w:w="109"/>
        <w:gridCol w:w="109"/>
        <w:gridCol w:w="109"/>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18. GOODWILL AND INTANGIBLE ASSETS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summarizes changes in the carrying value of goodwill by segment during the year ended September 30, 2025:</w:t>
      </w:r>
    </w:p>
    <w:tbl>
      <w:tblPr>
        <w:tblW w:w="10205" w:type="dxa"/>
        <w:jc w:val="left"/>
        <w:tblInd w:w="0" w:type="dxa"/>
        <w:tblLayout w:type="fixed"/>
        <w:tblCellMar>
          <w:top w:w="28" w:type="dxa"/>
          <w:left w:w="28" w:type="dxa"/>
          <w:bottom w:w="28" w:type="dxa"/>
          <w:right w:w="28" w:type="dxa"/>
        </w:tblCellMar>
      </w:tblPr>
      <w:tblGrid>
        <w:gridCol w:w="709"/>
        <w:gridCol w:w="623"/>
        <w:gridCol w:w="626"/>
        <w:gridCol w:w="304"/>
        <w:gridCol w:w="1039"/>
        <w:gridCol w:w="158"/>
        <w:gridCol w:w="109"/>
        <w:gridCol w:w="109"/>
        <w:gridCol w:w="109"/>
        <w:gridCol w:w="211"/>
        <w:gridCol w:w="721"/>
        <w:gridCol w:w="109"/>
        <w:gridCol w:w="109"/>
        <w:gridCol w:w="109"/>
        <w:gridCol w:w="109"/>
        <w:gridCol w:w="323"/>
        <w:gridCol w:w="1107"/>
        <w:gridCol w:w="168"/>
        <w:gridCol w:w="109"/>
        <w:gridCol w:w="109"/>
        <w:gridCol w:w="109"/>
        <w:gridCol w:w="465"/>
        <w:gridCol w:w="897"/>
        <w:gridCol w:w="243"/>
        <w:gridCol w:w="109"/>
        <w:gridCol w:w="109"/>
        <w:gridCol w:w="109"/>
        <w:gridCol w:w="211"/>
        <w:gridCol w:w="826"/>
        <w:gridCol w:w="157"/>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(Note 20)</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results of our annual goodwill impairment assessment at September 30, 2025, we concluded the fair value of each of our reporting units exceeded its book value, and therefore we recorded no impairment charges for the year ended September 30, 2025.</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2024, we had accumulated impairment losses of $6,976 related to our Commercial &amp; Industrial segment.</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961"/>
        <w:gridCol w:w="746"/>
        <w:gridCol w:w="733"/>
        <w:gridCol w:w="235"/>
        <w:gridCol w:w="235"/>
        <w:gridCol w:w="235"/>
        <w:gridCol w:w="235"/>
        <w:gridCol w:w="235"/>
        <w:gridCol w:w="235"/>
        <w:gridCol w:w="235"/>
        <w:gridCol w:w="235"/>
        <w:gridCol w:w="235"/>
        <w:gridCol w:w="109"/>
        <w:gridCol w:w="109"/>
        <w:gridCol w:w="109"/>
        <w:gridCol w:w="312"/>
        <w:gridCol w:w="1221"/>
        <w:gridCol w:w="160"/>
        <w:gridCol w:w="109"/>
        <w:gridCol w:w="109"/>
        <w:gridCol w:w="109"/>
        <w:gridCol w:w="375"/>
        <w:gridCol w:w="1314"/>
        <w:gridCol w:w="197"/>
        <w:gridCol w:w="109"/>
        <w:gridCol w:w="109"/>
        <w:gridCol w:w="109"/>
        <w:gridCol w:w="211"/>
        <w:gridCol w:w="721"/>
        <w:gridCol w:w="158"/>
      </w:tblGrid>
      <w:tr>
        <w:trPr/>
        <w:tc>
          <w:tcPr>
            <w:tcW w:w="9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arrangements</w:t>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(75,523)</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3"/>
        <w:gridCol w:w="743"/>
        <w:gridCol w:w="747"/>
        <w:gridCol w:w="239"/>
        <w:gridCol w:w="239"/>
        <w:gridCol w:w="239"/>
        <w:gridCol w:w="239"/>
        <w:gridCol w:w="239"/>
        <w:gridCol w:w="239"/>
        <w:gridCol w:w="239"/>
        <w:gridCol w:w="239"/>
        <w:gridCol w:w="239"/>
        <w:gridCol w:w="109"/>
        <w:gridCol w:w="109"/>
        <w:gridCol w:w="109"/>
        <w:gridCol w:w="315"/>
        <w:gridCol w:w="1236"/>
        <w:gridCol w:w="162"/>
        <w:gridCol w:w="109"/>
        <w:gridCol w:w="109"/>
        <w:gridCol w:w="109"/>
        <w:gridCol w:w="380"/>
        <w:gridCol w:w="1332"/>
        <w:gridCol w:w="199"/>
        <w:gridCol w:w="109"/>
        <w:gridCol w:w="109"/>
        <w:gridCol w:w="109"/>
        <w:gridCol w:w="211"/>
        <w:gridCol w:w="721"/>
        <w:gridCol w:w="164"/>
      </w:tblGrid>
      <w:tr>
        <w:trPr/>
        <w:tc>
          <w:tcPr>
            <w:tcW w:w="86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21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5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(61,877)</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September 30, 2025, 2024 and 2023, amortization expense of intangible assets was $13,646, $13,200 and $13,684, respectively. Our estimated future amortization expense is as follows:</w:t>
      </w:r>
    </w:p>
    <w:p>
      <w:pPr>
        <w:pStyle w:val="TextBody"/>
        <w:bidi w:val="0"/>
        <w:spacing w:before="0" w:after="0"/>
        <w:jc w:val="both"/>
        <w:rPr/>
      </w:pPr>
      <w:r>
        <w:rPr/>
      </w:r>
    </w:p>
    <w:tbl>
      <w:tblPr>
        <w:tblW w:w="2759" w:type="dxa"/>
        <w:jc w:val="center"/>
        <w:tblInd w:w="0" w:type="dxa"/>
        <w:tblLayout w:type="fixed"/>
        <w:tblCellMar>
          <w:top w:w="28" w:type="dxa"/>
          <w:left w:w="28" w:type="dxa"/>
          <w:bottom w:w="28" w:type="dxa"/>
          <w:right w:w="28" w:type="dxa"/>
        </w:tblCellMar>
      </w:tblPr>
      <w:tblGrid>
        <w:gridCol w:w="361"/>
        <w:gridCol w:w="318"/>
        <w:gridCol w:w="267"/>
        <w:gridCol w:w="352"/>
        <w:gridCol w:w="1204"/>
        <w:gridCol w:w="25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7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Ending September 30,</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Risk Management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2025 and 2024, we had $12,131 and $11,158,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2025 and 2024, we utilized $5,545 and $4,756, respectively, of our outstanding letters of credit to collateralize our insurance program.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estimated cost to complete our bonded projects was approximately $199,767.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quantities of materials at specific intervals at a fixed price over the term. As of September 30, 2025, we had firm commitments of $13,413 outstanding under agreements to purchase materials over the next 12 months in the ordinary course of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 BUSINESS COMBINATIONS AND 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completed three acquisitions during the year ended September 30, 2025 for total aggregate cash consideration of $51,826.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Arrow Engine Company (“Arrow”) - On January 31, 2025, we acquired 100% of the equity interests of Arrow, a Tulsa, Oklahoma-based provider of engines, generator sets, compressors, and replacement parts primarily for the natural gas production market, from TriMas Corporation. Arrow is part of our Infrastructure Solutions segment and continues to operate under the Arrow name.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Qypsys, LLC (“Qypsys”) - On July 31, 2025, we acquired 100% of the equity interests of Qypsys, a Tampa, Florida-based provider of wireless network infrastructure, including fiber-based LANs and flexible cellular coverage solutions such as distributed antenna systems. Qypsys is part of our Communications segment and continues to operate under the Qypsys name.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Wisconsin Heavy Fabrication (“WHF”) - On September 8, 2025, we acquired certain assets comprising an industrial fabrication business in Manitowoc, Wisconsin from Broadwind, Inc., and formed WHF, a new 100% owned subsidiary of our Infrastructure Solutions segment. This acquisition expands manufacturing capacity for our Custom Engineered Solutions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transactions under the acquisition method of accounting, which requires recording assets and liabilities at fair value (Level 3). The valuation of the assets acquired and liabilities assumed is as follows:</w:t>
      </w:r>
    </w:p>
    <w:p>
      <w:pPr>
        <w:pStyle w:val="TextBody"/>
        <w:bidi w:val="0"/>
        <w:spacing w:before="0" w:after="0"/>
        <w:jc w:val="left"/>
        <w:rPr/>
      </w:pPr>
      <w:r>
        <w:rPr/>
      </w:r>
    </w:p>
    <w:tbl>
      <w:tblPr>
        <w:tblW w:w="4321" w:type="dxa"/>
        <w:jc w:val="center"/>
        <w:tblInd w:w="0" w:type="dxa"/>
        <w:tblLayout w:type="fixed"/>
        <w:tblCellMar>
          <w:top w:w="28" w:type="dxa"/>
          <w:left w:w="28" w:type="dxa"/>
          <w:bottom w:w="28" w:type="dxa"/>
          <w:right w:w="28" w:type="dxa"/>
        </w:tblCellMar>
      </w:tblPr>
      <w:tblGrid>
        <w:gridCol w:w="1103"/>
        <w:gridCol w:w="970"/>
        <w:gridCol w:w="972"/>
        <w:gridCol w:w="109"/>
        <w:gridCol w:w="109"/>
        <w:gridCol w:w="109"/>
        <w:gridCol w:w="396"/>
        <w:gridCol w:w="39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these acquisitions, we acquired goodwill of $13,870, of which $12,512 is tax deductible, attributable to an assembled workforce and other intangibles that do not qualify for separate recognition. The intangible assets acquired primarily consisted of customer relationships, backlog, trade names and non-competition agreements with a total weighted-average amortization period of 7.99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acquisitions contributed $17,478 in revenue and $1,910 in operating income during the year ended September 30, 2025.</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Company acquired 100% of the equity interests of Greiner, a Mount Joy, Pennsylvania-based structural steel fabrication and services company for an aggregate total purchase price of $70,334. Greiner is part of our Infrastructure Solutions segment and continues to operate under the Greiner name. In addition to cash consideration, net of cash acquired, of $67,544, the aggregate purchase price also included contingent consideration of up to $5,000 upon achievement of certain future earnings targets, which was valued at $2,790 as of the date of the acquisition.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completed no acquisitions in fiscal year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completed no divestitures in fiscal years 2025 and 2024.</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7, 2022, we sold 100% of the membership interests of STR Mechanical, LLC and its subsidiary Technical Services II, LLC (collectively, “STR”). As a result, we recognized a pre-tax gain of $13,045, which was included in “Gain on sale of assets” within our Consolidated Statements of Comprehensive Income for the year ended September 30, 2023. The disposition of STR, which had operated as part of our Commercial &amp; Industrial segment, will not have a material impact on our ongoing results of operations or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21.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7, 2025, we entered into a definitive agreement with Gulf Island Fabrication, Inc. (“Gulf Island”) (NASDAQ: GIFI) providing for our acquisition of Gulf Island, a steel fabricator and service provider to the industrial, energy and government sectors. Under the terms of the agreement, we will pay $12.00 in cash per Gulf Island share, or an aggregate equity value of approximately $192 million. The transaction is currently expected to close in the quarter ending March 31, 2026 subject to Gulf Island shareholder approval, regulatory approvals (including clearance under the Hart-Scott-Rodino Antitrust Improvements Act) and other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9.</w:t>
      </w:r>
      <w:r>
        <w:rPr>
          <w:color w:val="000000"/>
        </w:rPr>
        <w:t xml:space="preserve">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9A.</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 and 15d-15 under the Exchange Act) during the fiscal quarter ended September 30, 2025 that have materially affected, or are reasonably likely to materially affect, the Company’s internal control over financial reporting. In the fiscal year ended September 30, 2024, we began planning and preparing for our phased implementation of a new enterprise resource planning (“ERP”) system, which will replace and upgrade many of our existing financial systems and processes. The ERP system is designed to accurately maintain our financial records and provide timely information to management to be used in operating the business. The first phase was implemented in the quarter ended December 31, 2024 and the Company continued working toward the next phase of the implementation throughout the remainder of fiscal 2025. Upon the first phase implementation, the Company updated its internal controls as appropriate. As the implementation activities take place, we will continue to monitor the impact of the implementation on our financial reporting business processes and evaluate each quarter whether there are changes that affect our internal control over financial reporting.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2025,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2025.</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Ernst &amp; Young LLP (PCAOB No. 42), an independent registered public accounting firm that has audited the Company’s financial statements as of and for the three-year period ended September 30,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has issued a report on their audit of management’s internal control over financial reporting, which is included herein.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9B.</w:t>
      </w:r>
      <w:r>
        <w:rPr>
          <w:color w:val="000000"/>
        </w:rPr>
        <w:t xml:space="preserve">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September 30, 2025, none of the Company’s directors or officers adopted or terminated a “Rule 10b5-1 trading arrangement” or a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included in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2026 Annual Meeting of Stockholders (the “Proxy Statement”) to be filed with the SEC no later than January 28,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included in Item 11 of Part III of this Annual Report on Form 10-K is incorporated by reference from the section entitled “Executive Compensation” in the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Stockholders Matters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to be included in Item 12 of Part III of this Annual Report on Form 10-K is incorporated by reference from the section entitled “Security Ownership of Certain Beneficial Owners and Management” in the Proxy Statement.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Securities Authorized for Issuance Under Equity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September 30, 2025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 Information </w:t>
      </w:r>
    </w:p>
    <w:tbl>
      <w:tblPr>
        <w:tblW w:w="10205" w:type="dxa"/>
        <w:jc w:val="center"/>
        <w:tblInd w:w="0" w:type="dxa"/>
        <w:tblLayout w:type="fixed"/>
        <w:tblCellMar>
          <w:top w:w="28" w:type="dxa"/>
          <w:left w:w="28" w:type="dxa"/>
          <w:bottom w:w="28" w:type="dxa"/>
          <w:right w:w="28" w:type="dxa"/>
        </w:tblCellMar>
      </w:tblPr>
      <w:tblGrid>
        <w:gridCol w:w="657"/>
        <w:gridCol w:w="577"/>
        <w:gridCol w:w="570"/>
        <w:gridCol w:w="109"/>
        <w:gridCol w:w="109"/>
        <w:gridCol w:w="109"/>
        <w:gridCol w:w="772"/>
        <w:gridCol w:w="698"/>
        <w:gridCol w:w="700"/>
        <w:gridCol w:w="109"/>
        <w:gridCol w:w="109"/>
        <w:gridCol w:w="109"/>
        <w:gridCol w:w="558"/>
        <w:gridCol w:w="1076"/>
        <w:gridCol w:w="291"/>
        <w:gridCol w:w="109"/>
        <w:gridCol w:w="109"/>
        <w:gridCol w:w="109"/>
        <w:gridCol w:w="1047"/>
        <w:gridCol w:w="948"/>
        <w:gridCol w:w="950"/>
        <w:gridCol w:w="109"/>
        <w:gridCol w:w="109"/>
        <w:gridCol w:w="162"/>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 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 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 Number of Securities Remaining Available for Future Issuance Under Equity Compensation Plans (Excluding Securities Reflected in Column (a))</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306,755 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1,265,801 </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8"/>
        </w:rPr>
        <w:t xml:space="preserve">(1) Represents shares available for issuance under the Company's 2006 Equity Incentive Plan, as amended and restated effective February 20, 2025 (the </w:t>
      </w:r>
      <w:r>
        <w:rPr>
          <w:color w:val="000000"/>
        </w:rPr>
        <w:t>“</w:t>
      </w:r>
      <w:r>
        <w:rPr>
          <w:rFonts w:ascii="Times New Roman;serif" w:hAnsi="Times New Roman;serif"/>
          <w:b w:val="false"/>
          <w:color w:val="000000"/>
          <w:sz w:val="18"/>
        </w:rPr>
        <w:t>Amended Plan</w:t>
      </w:r>
      <w:r>
        <w:rPr>
          <w:color w:val="000000"/>
        </w:rPr>
        <w:t>”</w:t>
      </w:r>
      <w:r>
        <w:rPr>
          <w:rFonts w:ascii="Times New Roman;serif" w:hAnsi="Times New Roman;serif"/>
          <w:b w:val="false"/>
          <w:color w:val="000000"/>
          <w:sz w:val="18"/>
        </w:rPr>
        <w:t>). This plan provides for the granting or awarding of stock options, stock, restricted stock and other forms of equity to employees (including officers), consultants and directors of the Company. This includes 306,755 shares that may be issued pursuant to outstanding performance based phantom stock units ("PPSUs") based on achievement of performance metrics, where applicable, and otherwise assuming the target award is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included in Item 13 of Part III of this Annual Report on Form 10-K is incorporated by reference from the section entitled “Certain Relationships and Related Person Transactions”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included in Item 14 of Part III of this Form 10-K is incorporated by reference from the section entitled “Audit Fees”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Financial Statement Schedules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    Financial Statements and Supplementary Data, Financial Statement Schedules and Exhibits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1.Financial Statements: See Index to Financial Statements under Item 8. “</w:t>
      </w:r>
      <w:r>
        <w:rPr>
          <w:rFonts w:ascii="Times New Roman;serif" w:hAnsi="Times New Roman;serif"/>
          <w:b w:val="false"/>
          <w:i/>
          <w:color w:val="000000"/>
          <w:sz w:val="20"/>
        </w:rPr>
        <w:t xml:space="preserve">Financial Statements and Supplementary Data” </w:t>
      </w:r>
      <w:r>
        <w:rPr>
          <w:rFonts w:ascii="Times New Roman;serif" w:hAnsi="Times New Roman;serif"/>
          <w:b w:val="false"/>
          <w:color w:val="000000"/>
          <w:sz w:val="20"/>
        </w:rPr>
        <w:t>of this Form 10-K.</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Schedules: Schedules are omitted because they are not required, not significant, not applicable or the information is shown in the Consolidated Financial Statements.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    Exhibits</w:t>
      </w:r>
    </w:p>
    <w:tbl>
      <w:tblPr>
        <w:tblW w:w="10205" w:type="dxa"/>
        <w:jc w:val="center"/>
        <w:tblInd w:w="0" w:type="dxa"/>
        <w:tblLayout w:type="fixed"/>
        <w:tblCellMar>
          <w:top w:w="28" w:type="dxa"/>
          <w:left w:w="28" w:type="dxa"/>
          <w:bottom w:w="28" w:type="dxa"/>
          <w:right w:w="28" w:type="dxa"/>
        </w:tblCellMar>
      </w:tblPr>
      <w:tblGrid>
        <w:gridCol w:w="252"/>
        <w:gridCol w:w="222"/>
        <w:gridCol w:w="223"/>
        <w:gridCol w:w="2792"/>
        <w:gridCol w:w="2766"/>
        <w:gridCol w:w="3950"/>
      </w:tblGrid>
      <w:tr>
        <w:trPr/>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Exhibit</w:t>
            </w:r>
            <w:r>
              <w:rPr>
                <w:color w:val="000000"/>
              </w:rPr>
              <w:t xml:space="preserve"> </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w:t>
            </w:r>
          </w:p>
        </w:tc>
        <w:tc>
          <w:tcPr>
            <w:tcW w:w="9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August 8, 2016)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9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Designations of Series A Junior Participating Preferred Stock (Incorporated by reference to Exhibit 3.1 to the Company’s Current Report on Form 8-K filed January 28, 2013)</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Certificate of Elimination of Series A Junior Participating Preferred Stock of IES Holdings, Inc., as filed with the Secretary of State of the State of Delaware on May 24, 2021 (Incorporated by reference to Exhibit 3.1 to the Company's Current Report on Form 8-K filed on May 24, 2021)</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9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Amended and Restated Bylaws of IES Holdings, Inc., effective April 28, 2021 (Incorporated by reference to Exhibit 3.3 to the Company's Current Report on Form 8-K filed on April 30, 2021)</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Specimen common stock certificate. (Incorporated by reference to Exhibit 4.1 to the Company's Annual Report on Form 10-K filed December 9, 2016)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9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Registration Rights Agreement, dated May 12, 2006, by and among Integrated Electrical Services, Inc. (n/k/a IES Holdings, Inc.), Tontine Capital Partners, L.P. and certain of its affiliates and Southpoint Master Fund, L.P. (Incorporated by reference to Exhibit 10.5 to the Company’s Current Report on Form 8-K filed May 17, 2006)</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First Amendment to Registration Rights Agreement, dated September 11, 2007, by and among Integrated Electrical Services, Inc. (n/k/a IES Holdings, Inc.), Tontine Capital Partners, L.P. and certain of its affiliates (Incorporated by reference to Exhibit 10.24 to the Company’s Annual Report on Form 10-K filed December 14, 2012)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9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Description of Registrant's Securities (Incorporated by reference to Exhibit 4.4 to the Company's Current Report on Form 10-K filed on December 7, 2023).</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Agreement of Indemnity, dated May 7, 2010, by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May 13, 2010)</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9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Amendment No. 1 to Agreement of Indemnity, dated August 16, 2012, between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August 17, 2012)</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Agreement of Indemnity, September 9, 2016, by IES Holdings, Inc. and certain of its present and future subsidiaries and affiliates and Everest Reinsurance Company and Everest National Insurance Company, and their affiliated, associated and subsidiary companies, successors and assigns. (Incorporated by reference to Exhibit 10.1 to the Company’s Current Report on Form 8-K filed September 13, 2016)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9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General Agreement of Indemnity, July 14, 2017, by IES Holdings, Inc. and certain of its present and future subsidiaries and affiliates and Travelers Casualty and Surety Company of America, St. Paul Fire and Marine Insurance Company, and their affiliated, associated and subsidiary companies, successors and assigns. (Incorporated by reference to Exhibit 10.1 to the Company’s Current Report on Form 8-K filed July 14, 2017)</w:t>
              </w:r>
            </w:hyperlink>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9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Agreement of Indemnity, dated August 17, 2020, by IES Holdings, Inc. and certain of its current and future subsidiaries and affiliates and United States Fire Insurance Company and its affiliated, associated and subsidiary companies, successors and assigns (Incorporated by reference to Exhibit 10.1 to the Company’s Current Report on Form 8-K filed August 20,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5"/>
        <w:gridCol w:w="176"/>
        <w:gridCol w:w="167"/>
        <w:gridCol w:w="2990"/>
        <w:gridCol w:w="2710"/>
        <w:gridCol w:w="3837"/>
      </w:tblGrid>
      <w:tr>
        <w:trPr/>
        <w:tc>
          <w:tcPr>
            <w:tcW w:w="3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Third Amended and Restated Credit and Security Agreement, dated April 28, 2022 by and among IES Holdings, Inc., each of the other Borrowers and Guarantors named therein and Wells Fargo Bank, National Association, as Administrative Agent. (Incorporated by reference to Exhibit 10.1 to the Company's Quarterly Report on Form 10-Q filed on April 29, 2022).</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Amendment No. 1 to Third Amended Restated Credit and Security Agreement, dated April 28, 2022 by and among IES Holdings, Inc., each of the other Borrowers and Guarantors named therein, Wells Fargo Bank, National Association, as Administrative Agent, and Fifth Third Bank, National Association (Incorporated by reference to Exhibit 10.7 to the Company's Annual Report on Form 10-K filed December 6, 2022)</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Fourth Amended and Restated Credit Agreement by and among the Company and each of the other borrowers and guarantors named therein with Wells Fargo Bank, National Association, as administrative agent, swingline lender and issuing lender, Wells Fargo Securities LLC and Fifth Third Bank, National Association as joint lead arrangers and joint bookrunners and other financial institutions party thereto as lenders. (Incorporated by reference to Exhibit 10.1 to the Company's Current Report on Form 8-K filed on January 22, 2025)</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Sublease Agreement between Tontine Associates, L.L.C. and IES Shared Services, Inc., dated March 29, 2012 (Incorporated by reference to Exhibit 10.1 to the Company’s Quarterly Report on Form 10-Q filed May 15, 2012)</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First Amendment between Tontine Associates, L.L.C., IES Shared Services, Inc. and IES Management ROO, LP, dated as of March 31, 2016, to Sublease Agreement between Tontine Associates, L.L.C., and IES Shared Services, Inc., dated March 29, 2012. (Incorporated by reference to Exhibit 10.5 to the Company’s Quarterly Report on Form 10-Q filed May 9, 2016)</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80"/>
                  <w:sz w:val="20"/>
                  <w:u w:val="single"/>
                </w:rPr>
                <w:t>Fifth Amendment, dated as of August 1, 2024, to Sublease Agreement, dated as of March 29, 2012 and amended as of March 31, 2016, May 1, 2019, November 5, 2019 and December 15, 2022, between Tontine Associates, L.L.C. and IES Management ROO, LP.</w:t>
              </w:r>
            </w:hyperlink>
            <w:hyperlink r:id="rId23">
              <w:r>
                <w:rPr>
                  <w:rStyle w:val="InternetLink"/>
                  <w:rFonts w:ascii="Times New Roman;serif" w:hAnsi="Times New Roman;serif"/>
                  <w:b w:val="false"/>
                  <w:color w:val="000080"/>
                  <w:sz w:val="20"/>
                  <w:u w:val="single"/>
                </w:rPr>
                <w:t xml:space="preserve"> </w:t>
              </w:r>
            </w:hyperlink>
            <w:hyperlink r:id="rId24">
              <w:r>
                <w:rPr>
                  <w:rStyle w:val="InternetLink"/>
                  <w:rFonts w:ascii="Times New Roman;serif" w:hAnsi="Times New Roman;serif"/>
                  <w:b w:val="false"/>
                  <w:color w:val="000080"/>
                  <w:sz w:val="20"/>
                  <w:u w:val="single"/>
                </w:rPr>
                <w:t>(Incorporated by reference to Exhibit 10.</w:t>
              </w:r>
            </w:hyperlink>
            <w:hyperlink r:id="rId25">
              <w:r>
                <w:rPr>
                  <w:rStyle w:val="InternetLink"/>
                  <w:rFonts w:ascii="Times New Roman;serif" w:hAnsi="Times New Roman;serif"/>
                  <w:b w:val="false"/>
                  <w:color w:val="000080"/>
                  <w:sz w:val="20"/>
                  <w:u w:val="single"/>
                </w:rPr>
                <w:t>10</w:t>
              </w:r>
            </w:hyperlink>
            <w:hyperlink r:id="rId26">
              <w:r>
                <w:rPr>
                  <w:rStyle w:val="InternetLink"/>
                  <w:rFonts w:ascii="Times New Roman;serif" w:hAnsi="Times New Roman;serif"/>
                  <w:b w:val="false"/>
                  <w:color w:val="000080"/>
                  <w:sz w:val="20"/>
                  <w:u w:val="single"/>
                </w:rPr>
                <w:t xml:space="preserve"> to the Company’s </w:t>
              </w:r>
            </w:hyperlink>
            <w:hyperlink r:id="rId27">
              <w:r>
                <w:rPr>
                  <w:rStyle w:val="InternetLink"/>
                  <w:rFonts w:ascii="Times New Roman;serif" w:hAnsi="Times New Roman;serif"/>
                  <w:b w:val="false"/>
                  <w:color w:val="000080"/>
                  <w:sz w:val="20"/>
                  <w:u w:val="single"/>
                </w:rPr>
                <w:t>Annual</w:t>
              </w:r>
            </w:hyperlink>
            <w:hyperlink r:id="rId28">
              <w:r>
                <w:rPr>
                  <w:rStyle w:val="InternetLink"/>
                  <w:rFonts w:ascii="Times New Roman;serif" w:hAnsi="Times New Roman;serif"/>
                  <w:b w:val="false"/>
                  <w:color w:val="000080"/>
                  <w:sz w:val="20"/>
                  <w:u w:val="single"/>
                </w:rPr>
                <w:t xml:space="preserve"> Report on Form 10-</w:t>
              </w:r>
            </w:hyperlink>
            <w:hyperlink r:id="rId29">
              <w:r>
                <w:rPr>
                  <w:rStyle w:val="InternetLink"/>
                  <w:rFonts w:ascii="Times New Roman;serif" w:hAnsi="Times New Roman;serif"/>
                  <w:b w:val="false"/>
                  <w:color w:val="000080"/>
                  <w:sz w:val="20"/>
                  <w:u w:val="single"/>
                </w:rPr>
                <w:t>K</w:t>
              </w:r>
            </w:hyperlink>
            <w:hyperlink r:id="rId30">
              <w:r>
                <w:rPr>
                  <w:rStyle w:val="InternetLink"/>
                  <w:rFonts w:ascii="Times New Roman;serif" w:hAnsi="Times New Roman;serif"/>
                  <w:b w:val="false"/>
                  <w:color w:val="000080"/>
                  <w:sz w:val="20"/>
                  <w:u w:val="single"/>
                </w:rPr>
                <w:t xml:space="preserve"> filed </w:t>
              </w:r>
            </w:hyperlink>
            <w:hyperlink r:id="rId31">
              <w:r>
                <w:rPr>
                  <w:rStyle w:val="InternetLink"/>
                  <w:rFonts w:ascii="Times New Roman;serif" w:hAnsi="Times New Roman;serif"/>
                  <w:b w:val="false"/>
                  <w:color w:val="000080"/>
                  <w:sz w:val="20"/>
                  <w:u w:val="single"/>
                </w:rPr>
                <w:t>November 22, 2024</w:t>
              </w:r>
            </w:hyperlink>
            <w:hyperlink r:id="rId32">
              <w:r>
                <w:rPr>
                  <w:rStyle w:val="InternetLink"/>
                  <w:rFonts w:ascii="Times New Roman;serif" w:hAnsi="Times New Roman;serif"/>
                  <w:b w:val="false"/>
                  <w:color w:val="000080"/>
                  <w:sz w:val="20"/>
                  <w:u w:val="single"/>
                </w:rPr>
                <w:t>)</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(1)</w:t>
            </w:r>
            <w:r>
              <w:rPr>
                <w:rFonts w:ascii="Times New Roman;serif" w:hAnsi="Times New Roman;serif"/>
                <w:b w:val="false"/>
                <w:color w:val="000000"/>
                <w:sz w:val="18"/>
              </w:rPr>
              <w:t>10.12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12sixthamendtosublease.htm">
              <w:r>
                <w:rPr>
                  <w:rStyle w:val="InternetLink"/>
                  <w:rFonts w:ascii="Times New Roman;serif" w:hAnsi="Times New Roman;serif"/>
                  <w:b w:val="false"/>
                  <w:color w:val="000080"/>
                  <w:sz w:val="20"/>
                  <w:u w:val="single"/>
                </w:rPr>
                <w:t>Six</w:t>
              </w:r>
            </w:hyperlink>
            <w:hyperlink w:anchor="ex1012sixthamendtosublease.htm">
              <w:r>
                <w:rPr>
                  <w:rStyle w:val="InternetLink"/>
                  <w:rFonts w:ascii="Times New Roman;serif" w:hAnsi="Times New Roman;serif"/>
                  <w:b w:val="false"/>
                  <w:color w:val="000080"/>
                  <w:sz w:val="20"/>
                  <w:u w:val="single"/>
                </w:rPr>
                <w:t>t</w:t>
              </w:r>
            </w:hyperlink>
            <w:hyperlink w:anchor="ex1012sixthamendtosublease.htm">
              <w:r>
                <w:rPr>
                  <w:rStyle w:val="InternetLink"/>
                  <w:rFonts w:ascii="Times New Roman;serif" w:hAnsi="Times New Roman;serif"/>
                  <w:b w:val="false"/>
                  <w:color w:val="000080"/>
                  <w:sz w:val="20"/>
                  <w:u w:val="single"/>
                </w:rPr>
                <w:t xml:space="preserve">h </w:t>
              </w:r>
            </w:hyperlink>
            <w:hyperlink w:anchor="ex1012sixthamendtosublease.htm">
              <w:r>
                <w:rPr>
                  <w:rStyle w:val="InternetLink"/>
                  <w:rFonts w:ascii="Times New Roman;serif" w:hAnsi="Times New Roman;serif"/>
                  <w:b w:val="false"/>
                  <w:color w:val="000080"/>
                  <w:sz w:val="20"/>
                  <w:u w:val="single"/>
                </w:rPr>
                <w:t>Amendment, dated as of August 1, 2025, to Sublease Agreement, dated as of March 29, 2012 and amended as of March 31, 2016, May 1, 2019, November 5, 2019, December 15, 2022, and August 1, 2024, between Tontine Associates, L.L.C. and IES Management ROO, LP.</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Board Observer Letter Agreement between Tontine Associates, L.L.C. and IES Holdings, Inc., dated December 6, 2018 (Incorporated by reference to Exhibit 10.17 to the Company's Annual Report on Form 10-K filed December 7, 2018)</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Term Life Insurance Plan (Incorporated by reference to Exhibit 10.3 to the Company’s Current Report on Form 8-K filed October 17, 2007)</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Integrated Electrical Services, Inc. (n/k/a IES Holdings, Inc.) 2006 Equity Incentive Plan, as amended and restated through 2007 (Incorporated by reference to Exhibit 10.1 to the Company's Current Report on Form 8-K filed October 17, 2007)</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Form of Performance-Based Phantom Stock Unit Award Agreement under the Company’s 2006 Equity Incentive Plan, as amended and restated through 2007 (Incorporated by reference to Exhibit 10.1 to the Company's Quarterly Report on Form 10-Q filed February 8, 2016)</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Integrated Electrical Services, Inc. (n/k/a IES Holdings, Inc.) Amended and Restated 2006 Equity Incentive Plan (as of February 9, 2016) (Incorporated by reference to Exhibit A to the Company’s Definitive Proxy Statement filed December 28, 2015)</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80"/>
                  <w:sz w:val="20"/>
                  <w:u w:val="single"/>
                </w:rPr>
                <w:t xml:space="preserve">Integrated Electrical Services, Inc. (n/k/a IES Holdings, Inc.) Amended and Restated 2006 Equity Incentive Plan (as of February </w:t>
              </w:r>
            </w:hyperlink>
            <w:hyperlink r:id="rId39">
              <w:r>
                <w:rPr>
                  <w:rStyle w:val="InternetLink"/>
                  <w:rFonts w:ascii="Times New Roman;serif" w:hAnsi="Times New Roman;serif"/>
                  <w:b w:val="false"/>
                  <w:color w:val="000080"/>
                  <w:sz w:val="20"/>
                  <w:u w:val="single"/>
                </w:rPr>
                <w:t>20</w:t>
              </w:r>
            </w:hyperlink>
            <w:hyperlink r:id="rId40">
              <w:r>
                <w:rPr>
                  <w:rStyle w:val="InternetLink"/>
                  <w:rFonts w:ascii="Times New Roman;serif" w:hAnsi="Times New Roman;serif"/>
                  <w:b w:val="false"/>
                  <w:color w:val="000080"/>
                  <w:sz w:val="20"/>
                  <w:u w:val="single"/>
                </w:rPr>
                <w:t>, 20</w:t>
              </w:r>
            </w:hyperlink>
            <w:hyperlink r:id="rId41">
              <w:r>
                <w:rPr>
                  <w:rStyle w:val="InternetLink"/>
                  <w:rFonts w:ascii="Times New Roman;serif" w:hAnsi="Times New Roman;serif"/>
                  <w:b w:val="false"/>
                  <w:color w:val="000080"/>
                  <w:sz w:val="20"/>
                  <w:u w:val="single"/>
                </w:rPr>
                <w:t>25</w:t>
              </w:r>
            </w:hyperlink>
            <w:hyperlink r:id="rId42">
              <w:r>
                <w:rPr>
                  <w:rStyle w:val="InternetLink"/>
                  <w:rFonts w:ascii="Times New Roman;serif" w:hAnsi="Times New Roman;serif"/>
                  <w:b w:val="false"/>
                  <w:color w:val="000080"/>
                  <w:sz w:val="20"/>
                  <w:u w:val="single"/>
                </w:rPr>
                <w:t>) (Incorporated by reference to Exhibit A to the Company’s Definitive Proxy Statement filed</w:t>
              </w:r>
            </w:hyperlink>
            <w:hyperlink r:id="rId43">
              <w:r>
                <w:rPr>
                  <w:rStyle w:val="InternetLink"/>
                  <w:rFonts w:ascii="Times New Roman;serif" w:hAnsi="Times New Roman;serif"/>
                  <w:b w:val="false"/>
                  <w:color w:val="000080"/>
                  <w:sz w:val="20"/>
                  <w:u w:val="single"/>
                </w:rPr>
                <w:t xml:space="preserve"> </w:t>
              </w:r>
            </w:hyperlink>
            <w:hyperlink r:id="rId44">
              <w:r>
                <w:rPr>
                  <w:rStyle w:val="InternetLink"/>
                  <w:rFonts w:ascii="Times New Roman;serif" w:hAnsi="Times New Roman;serif"/>
                  <w:b w:val="false"/>
                  <w:color w:val="000080"/>
                  <w:sz w:val="20"/>
                  <w:u w:val="single"/>
                </w:rPr>
                <w:t>January 7</w:t>
              </w:r>
            </w:hyperlink>
            <w:hyperlink r:id="rId45">
              <w:r>
                <w:rPr>
                  <w:rStyle w:val="InternetLink"/>
                  <w:rFonts w:ascii="Times New Roman;serif" w:hAnsi="Times New Roman;serif"/>
                  <w:b w:val="false"/>
                  <w:color w:val="000080"/>
                  <w:sz w:val="20"/>
                  <w:u w:val="single"/>
                </w:rPr>
                <w:t xml:space="preserve">, </w:t>
              </w:r>
            </w:hyperlink>
            <w:hyperlink r:id="rId46">
              <w:r>
                <w:rPr>
                  <w:rStyle w:val="InternetLink"/>
                  <w:rFonts w:ascii="Times New Roman;serif" w:hAnsi="Times New Roman;serif"/>
                  <w:b w:val="false"/>
                  <w:color w:val="000080"/>
                  <w:sz w:val="20"/>
                  <w:u w:val="single"/>
                </w:rPr>
                <w:t>2025</w:t>
              </w:r>
            </w:hyperlink>
            <w:hyperlink r:id="rId47">
              <w:r>
                <w:rPr>
                  <w:rStyle w:val="InternetLink"/>
                  <w:rFonts w:ascii="Times New Roman;serif" w:hAnsi="Times New Roman;serif"/>
                  <w:b w:val="false"/>
                  <w:color w:val="000080"/>
                  <w:sz w:val="20"/>
                  <w:u w:val="single"/>
                </w:rPr>
                <w:t>)</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u w:val="single"/>
                </w:rPr>
                <w:t>Form of Phantom Stock Unit Award under the Company’s Amended and Restated 2006 Equity Incentive Plan (as of February 9, 2016) (Incorporated by reference to Exhibit 10.4 to the Company’s Quarterly Report on Form 10-Q filed May 9, 2016)</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20"/>
                  <w:u w:val="single"/>
                </w:rPr>
                <w:t>Form of Stock Option Award Agreement under the Company’s Amended and Restated 2006 Equity Incentive Plan (as of February 9, 2016) (Incorporated by reference to Exhibit 10.3 to the Company’s Quarterly Report on Form 10-Q filed May 9, 2016)</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u w:val="single"/>
                </w:rPr>
                <w:t>Form of Restricted Stock Award Agreement under the Company’s Amended and Restated 2006 Equity Incentive Plan (as of February 9, 2016) (Incorporated by reference to Exhibit 10.2 to the Company’s Quarterly Report on Form 10-Q filed May 9, 2016)</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u w:val="single"/>
                </w:rPr>
                <w:t>Amended and Restated 2009 Deferred Compensation Plan (Incorporated by reference to Exhibit 10.33 to the Company’s Annual Report on Form 10-K filed December 15, 2008)</w:t>
              </w:r>
            </w:hyperlink>
          </w:p>
        </w:tc>
      </w:tr>
      <w:tr>
        <w:trPr/>
        <w:tc>
          <w:tcPr>
            <w:tcW w:w="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9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20"/>
                  <w:u w:val="single"/>
                </w:rPr>
                <w:t>Integrated Electrical Services, Inc. (n/k/a IES Holdings, Inc.) Long Term Incentive Plan, as amended and restated. (Incorporated by reference to Exhibit 10.2 to the Company’s Current Report on Form 8-K filed September 23, 2009)</w:t>
              </w:r>
            </w:hyperlink>
          </w:p>
        </w:tc>
      </w:tr>
      <w:tr>
        <w:trPr/>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9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u w:val="single"/>
                </w:rPr>
                <w:t>IES Holdings, Inc. Second Amended and Restated Executive Officer Severance Benefit Plan, effective April 29, 2021 (Incorporated by reference to Exhibit 10.3 to the Company's Quarterly Report on Form 10-Q filed April 30,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8"/>
        <w:gridCol w:w="245"/>
        <w:gridCol w:w="246"/>
        <w:gridCol w:w="2823"/>
        <w:gridCol w:w="2738"/>
        <w:gridCol w:w="3875"/>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u w:val="single"/>
                </w:rPr>
                <w:t>Form of Phantom Stock Unit Award under the Company’s Amended and Restated 2006 Equity Incentive Plan (as of February 9, 2016), dated February 6, 2019 (Incorporated by reference to Exhibit 10.2 to the Company’s Quarterly Report on Form 10-Q filed May 6, 2019)</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FF"/>
                  <w:sz w:val="20"/>
                  <w:u w:val="single"/>
                </w:rPr>
                <w:t>IES Holdings, Inc. Short-Term Incentive Plan (Incorporated by reference to Exhibit 10.1 to the Company’s Current Report on Form 8-K filed March, 5, 2019)</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FF"/>
                  <w:sz w:val="20"/>
                  <w:u w:val="single"/>
                </w:rPr>
                <w:t>IES Holdings, Inc. Long-Term Incentive Plan Annual Grant Program (Incorporated by reference to Exhibit 10.2 to the Company’s Current Report on Form 8-K filed March, 5, 2019)</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00FF"/>
                  <w:sz w:val="20"/>
                  <w:u w:val="single"/>
                </w:rPr>
                <w:t>Form of IES Holdings, Inc. Amended and Restated 2006 Equity Incentive Plan Restricted Stock Award Agreement (Incorporated by reference to Exhibit 10.2 to the Company’s Quarterly Report on Form 10-Q filed February 4, 2020)</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FF"/>
                  <w:sz w:val="20"/>
                  <w:u w:val="single"/>
                </w:rPr>
                <w:t>Form of IES Holdings, Inc. Amended and Restated 2006 Equity Incentive Plan Phantom Stock Unit Award Agreement (Incorporated by reference to Exhibit 10.3 to the Company’s Quarterly Report on Form 10-Q filed February 4, 2020)</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u w:val="single"/>
                </w:rPr>
                <w:t>Form of Cumulative Income Restricted Stock Award Agreement under the Company’s 2006 Equity Incentive Plan (as of February 9, 2016), dated March 4, 2019 (Incorporated by reference to Exhibit 10.5 to the Company’s Quarterly Report on Form 10-Q filed May 6, 2019)</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Long-Term Incentive Plan Annual Grant Program (Incorporated by reference to Exhibit 10.1 to the Company's Current Report on Form 8-K filed December 6, 2019)</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Compensation Letter between IES Holdings, Inc. and Mr. Jeffrey L. Gendell as Chief Executive Officer (Incorporated by reference to Exhibit 10.1 to the Company's Current Report on Form 8-K filed October 5, 2020)</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20"/>
                  <w:u w:val="single"/>
                </w:rPr>
                <w:t>Phantom Stock Unit Award Agreement dated as of December 3, 2021, by and between the Company and Matthew Simmes (Incorporated by reference to Exhibit 10.2 to the Company’s Current Report on Form 8-K filed on December 3, 2021)</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FF"/>
                  <w:sz w:val="20"/>
                  <w:u w:val="single"/>
                </w:rPr>
                <w:t>Phantom Stock Unit Award Agreement dated as of December 1, 2021, by and between the Company and Jeffrey Gendell (Incorporated by reference to Exhibit 10.3 to the Company’s Current Report on Form 8-K filed on December 3, 2021)</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FF"/>
                  <w:sz w:val="20"/>
                  <w:u w:val="single"/>
                </w:rPr>
                <w:t>Form of Time-Based Phantom Stock Unit under the Company's Amended and Restated 2006 Equity Incentive Plan, as amended and restated effective February 9, 2016 (Incorporated by reference to Exhibit 10.1 to the Company's Current Report on Form 8-K filed on December 7, 2023)</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80"/>
                  <w:sz w:val="20"/>
                  <w:u w:val="single"/>
                </w:rPr>
                <w:t>IES Holdings, Inc. 2025 Supplementary Short Term Incentive Plan</w:t>
              </w:r>
            </w:hyperlink>
            <w:hyperlink r:id="rId66">
              <w:r>
                <w:rPr>
                  <w:rStyle w:val="InternetLink"/>
                  <w:rFonts w:ascii="Times New Roman;serif" w:hAnsi="Times New Roman;serif"/>
                  <w:b w:val="false"/>
                  <w:color w:val="000080"/>
                  <w:sz w:val="20"/>
                  <w:u w:val="single"/>
                </w:rPr>
                <w:t>. (Incorporated by reference to Exhibit 10.1 to the Company's Current Report on Form 8-K filed on November 22, 2024)</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erif" w:hAnsi="Times New Roman;serif"/>
                  <w:b w:val="false"/>
                  <w:color w:val="000080"/>
                  <w:sz w:val="20"/>
                  <w:u w:val="single"/>
                </w:rPr>
                <w:t xml:space="preserve">Insider Trading Policy (Incorporated by reference to Exhibit </w:t>
              </w:r>
            </w:hyperlink>
            <w:hyperlink r:id="rId68">
              <w:r>
                <w:rPr>
                  <w:rStyle w:val="InternetLink"/>
                  <w:rFonts w:ascii="Times New Roman;serif" w:hAnsi="Times New Roman;serif"/>
                  <w:b w:val="false"/>
                  <w:color w:val="000080"/>
                  <w:sz w:val="20"/>
                  <w:u w:val="single"/>
                </w:rPr>
                <w:t>19.1</w:t>
              </w:r>
            </w:hyperlink>
            <w:hyperlink r:id="rId69">
              <w:r>
                <w:rPr>
                  <w:rStyle w:val="InternetLink"/>
                  <w:rFonts w:ascii="Times New Roman;serif" w:hAnsi="Times New Roman;serif"/>
                  <w:b w:val="false"/>
                  <w:color w:val="000080"/>
                  <w:sz w:val="20"/>
                  <w:u w:val="single"/>
                </w:rPr>
                <w:t xml:space="preserve"> to the Company's Annual Report on Form 10-K filed on November 22, 2024)</w:t>
              </w:r>
            </w:hyperlink>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(1)</w:t>
            </w:r>
            <w:r>
              <w:rPr>
                <w:rFonts w:ascii="Times New Roman;serif" w:hAnsi="Times New Roman;serif"/>
                <w:b w:val="false"/>
                <w:color w:val="000000"/>
                <w:sz w:val="18"/>
              </w:rPr>
              <w:t>21.1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q42025ex211-sep.htm">
              <w:r>
                <w:rPr>
                  <w:rStyle w:val="InternetLink"/>
                  <w:rFonts w:ascii="Times New Roman;serif" w:hAnsi="Times New Roman;serif"/>
                  <w:b w:val="false"/>
                  <w:color w:val="0000FF"/>
                  <w:sz w:val="20"/>
                  <w:u w:val="single"/>
                </w:rPr>
                <w:t>Subsidiaries of the Registrant</w:t>
              </w:r>
            </w:hyperlink>
            <w:r>
              <w:rPr>
                <w:color w:val="000000"/>
              </w:rPr>
              <w:t xml:space="preserve"> </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(1)</w:t>
            </w:r>
            <w:r>
              <w:rPr>
                <w:rFonts w:ascii="Times New Roman;serif" w:hAnsi="Times New Roman;serif"/>
                <w:b w:val="false"/>
                <w:color w:val="000000"/>
                <w:sz w:val="18"/>
              </w:rPr>
              <w:t>23.1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q42025ex231-sep.htm">
              <w:r>
                <w:rPr>
                  <w:rStyle w:val="InternetLink"/>
                  <w:rFonts w:ascii="Times New Roman;serif" w:hAnsi="Times New Roman;serif"/>
                  <w:b w:val="false"/>
                  <w:color w:val="0000FF"/>
                  <w:sz w:val="20"/>
                  <w:u w:val="single"/>
                </w:rPr>
                <w:t>Consent of Ernst &amp; Young LLP</w:t>
              </w:r>
            </w:hyperlink>
            <w:r>
              <w:rPr>
                <w:color w:val="000000"/>
              </w:rPr>
              <w:t xml:space="preserve"> </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(1)</w:t>
            </w:r>
            <w:r>
              <w:rPr>
                <w:rFonts w:ascii="Times New Roman;serif" w:hAnsi="Times New Roman;serif"/>
                <w:b w:val="false"/>
                <w:color w:val="000000"/>
                <w:sz w:val="18"/>
              </w:rPr>
              <w:t>31.1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q42025ex311-sep.htm">
              <w:r>
                <w:rPr>
                  <w:rStyle w:val="InternetLink"/>
                  <w:rFonts w:ascii="Times New Roman;serif" w:hAnsi="Times New Roman;serif"/>
                  <w:b w:val="false"/>
                  <w:color w:val="0000FF"/>
                  <w:sz w:val="20"/>
                  <w:u w:val="single"/>
                </w:rPr>
                <w:t>Rule 13a-14(a)/15d-14(a) Certification of Jeffrey L. Gendell, Chief Executive Officer</w:t>
              </w:r>
            </w:hyperlink>
            <w:r>
              <w:rPr>
                <w:color w:val="000000"/>
              </w:rPr>
              <w:t xml:space="preserve"> </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(1)</w:t>
            </w:r>
            <w:r>
              <w:rPr>
                <w:rFonts w:ascii="Times New Roman;serif" w:hAnsi="Times New Roman;serif"/>
                <w:b w:val="false"/>
                <w:color w:val="000000"/>
                <w:sz w:val="18"/>
              </w:rPr>
              <w:t>31.2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q42025ex312-sep.htm">
              <w:r>
                <w:rPr>
                  <w:rStyle w:val="InternetLink"/>
                  <w:rFonts w:ascii="Times New Roman;serif" w:hAnsi="Times New Roman;serif"/>
                  <w:b w:val="false"/>
                  <w:color w:val="0000FF"/>
                  <w:sz w:val="20"/>
                  <w:u w:val="single"/>
                </w:rPr>
                <w:t>Rule 13a-14(a)/15d-14(a) Certification of Tracy A. McLauchlin, Chief Financial Officer</w:t>
              </w:r>
            </w:hyperlink>
            <w:r>
              <w:rPr>
                <w:color w:val="000000"/>
              </w:rPr>
              <w:t xml:space="preserve"> </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(2)</w:t>
            </w:r>
            <w:r>
              <w:rPr>
                <w:rFonts w:ascii="Times New Roman;serif" w:hAnsi="Times New Roman;serif"/>
                <w:b w:val="false"/>
                <w:color w:val="000000"/>
                <w:sz w:val="18"/>
              </w:rPr>
              <w:t>32.1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q42025ex321-sep.htm">
              <w:r>
                <w:rPr>
                  <w:rStyle w:val="InternetLink"/>
                  <w:rFonts w:ascii="Times New Roman;serif" w:hAnsi="Times New Roman;serif"/>
                  <w:b w:val="false"/>
                  <w:color w:val="0000FF"/>
                  <w:sz w:val="20"/>
                  <w:u w:val="single"/>
                </w:rPr>
                <w:t>Section 1350 Certification of Jeffrey L. Gendell, Chief Executive Officer</w:t>
              </w:r>
            </w:hyperlink>
            <w:r>
              <w:rPr>
                <w:color w:val="000000"/>
              </w:rPr>
              <w:t xml:space="preserve"> </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2"/>
              </w:rPr>
              <w:t>(2)</w:t>
            </w:r>
            <w:r>
              <w:rPr>
                <w:rFonts w:ascii="Times New Roman;serif" w:hAnsi="Times New Roman;serif"/>
                <w:b w:val="false"/>
                <w:color w:val="000000"/>
                <w:sz w:val="18"/>
              </w:rPr>
              <w:t>32.2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q42025ex322-sep.htm">
              <w:r>
                <w:rPr>
                  <w:rStyle w:val="InternetLink"/>
                  <w:rFonts w:ascii="Times New Roman;serif" w:hAnsi="Times New Roman;serif"/>
                  <w:b w:val="false"/>
                  <w:color w:val="0000FF"/>
                  <w:sz w:val="20"/>
                  <w:u w:val="single"/>
                </w:rPr>
                <w:t>Section 1350 Certification of Tracy A. McLauchlin, Chief Financial Officer</w:t>
              </w:r>
            </w:hyperlink>
            <w:r>
              <w:rPr>
                <w:color w:val="000000"/>
              </w:rPr>
              <w:t xml:space="preserve"> </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0">
              <w:r>
                <w:rPr>
                  <w:rStyle w:val="InternetLink"/>
                  <w:rFonts w:ascii="Times New Roman;serif" w:hAnsi="Times New Roman;serif"/>
                  <w:b w:val="false"/>
                  <w:color w:val="0000FF"/>
                  <w:sz w:val="20"/>
                  <w:u w:val="single"/>
                </w:rPr>
                <w:t>IES Holdings, Inc. Incentive Award Recoupment Policy (Incorporated by reference to Exhibit 97.1 to the Company's Annual Report on Form 10-K filed on November 22, 2024)</w:t>
              </w:r>
            </w:hyperlink>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3"/>
              </w:rPr>
              <w:t>(1)</w:t>
            </w:r>
            <w:r>
              <w:rPr>
                <w:rFonts w:ascii="Times New Roman;serif" w:hAnsi="Times New Roman;serif"/>
                <w:b w:val="false"/>
                <w:color w:val="000000"/>
                <w:sz w:val="20"/>
              </w:rPr>
              <w:t>101.INS</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3"/>
              </w:rPr>
              <w:t>(1)</w:t>
            </w:r>
            <w:r>
              <w:rPr>
                <w:rFonts w:ascii="Times New Roman;serif" w:hAnsi="Times New Roman;serif"/>
                <w:b w:val="false"/>
                <w:color w:val="000000"/>
                <w:sz w:val="20"/>
              </w:rPr>
              <w:t>101.SCH</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Schema Document </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3"/>
              </w:rPr>
              <w:t>(1)</w:t>
            </w:r>
            <w:r>
              <w:rPr>
                <w:rFonts w:ascii="Times New Roman;serif" w:hAnsi="Times New Roman;serif"/>
                <w:b w:val="false"/>
                <w:color w:val="000000"/>
                <w:sz w:val="20"/>
              </w:rPr>
              <w:t>101.LAB</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Label Linkbase Document </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3"/>
              </w:rPr>
              <w:t>(1)</w:t>
            </w:r>
            <w:r>
              <w:rPr>
                <w:rFonts w:ascii="Times New Roman;serif" w:hAnsi="Times New Roman;serif"/>
                <w:b w:val="false"/>
                <w:color w:val="000000"/>
                <w:sz w:val="20"/>
              </w:rPr>
              <w:t>101.PRE</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Presentation Linkbase Document </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3"/>
              </w:rPr>
              <w:t>(1)</w:t>
            </w:r>
            <w:r>
              <w:rPr>
                <w:rFonts w:ascii="Times New Roman;serif" w:hAnsi="Times New Roman;serif"/>
                <w:b w:val="false"/>
                <w:color w:val="000000"/>
                <w:sz w:val="20"/>
              </w:rPr>
              <w:t>101.DEF</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Definition Linkbase Document </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3"/>
              </w:rPr>
              <w:t>(1)</w:t>
            </w:r>
            <w:r>
              <w:rPr>
                <w:rFonts w:ascii="Times New Roman;serif" w:hAnsi="Times New Roman;serif"/>
                <w:b w:val="false"/>
                <w:color w:val="000000"/>
                <w:sz w:val="20"/>
              </w:rPr>
              <w:t>101.CAL</w:t>
            </w:r>
          </w:p>
        </w:tc>
        <w:tc>
          <w:tcPr>
            <w:tcW w:w="9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Calculation Linkbase Document </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9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firstLine="180"/>
        <w:jc w:val="left"/>
        <w:rPr/>
      </w:pPr>
      <w:r>
        <w:rPr/>
      </w:r>
    </w:p>
    <w:tbl>
      <w:tblPr>
        <w:tblW w:w="5519" w:type="dxa"/>
        <w:jc w:val="left"/>
        <w:tblInd w:w="0" w:type="dxa"/>
        <w:tblLayout w:type="fixed"/>
        <w:tblCellMar>
          <w:top w:w="28" w:type="dxa"/>
          <w:left w:w="28" w:type="dxa"/>
          <w:bottom w:w="28" w:type="dxa"/>
          <w:right w:w="28" w:type="dxa"/>
        </w:tblCellMar>
      </w:tblPr>
      <w:tblGrid>
        <w:gridCol w:w="125"/>
        <w:gridCol w:w="110"/>
        <w:gridCol w:w="110"/>
        <w:gridCol w:w="1515"/>
        <w:gridCol w:w="1515"/>
        <w:gridCol w:w="214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contracts or compensatory plans or arrangement.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November 21, 2025.</w:t>
      </w:r>
    </w:p>
    <w:p>
      <w:pPr>
        <w:pStyle w:val="TextBody"/>
        <w:bidi w:val="0"/>
        <w:spacing w:before="0" w:after="0"/>
        <w:jc w:val="left"/>
        <w:rPr/>
      </w:pPr>
      <w:r>
        <w:rPr/>
      </w:r>
    </w:p>
    <w:p>
      <w:pPr>
        <w:pStyle w:val="TextBody"/>
        <w:bidi w:val="0"/>
        <w:spacing w:lineRule="auto" w:line="288" w:before="0" w:after="0"/>
        <w:ind w:left="0" w:right="0" w:firstLine="3240"/>
        <w:jc w:val="left"/>
        <w:rPr>
          <w:rFonts w:ascii="Times New Roman;serif" w:hAnsi="Times New Roman;serif"/>
          <w:b/>
          <w:color w:val="000000"/>
          <w:sz w:val="20"/>
        </w:rPr>
      </w:pPr>
      <w:r>
        <w:rPr>
          <w:rFonts w:ascii="Times New Roman;serif" w:hAnsi="Times New Roman;serif"/>
          <w:b/>
          <w:color w:val="000000"/>
          <w:sz w:val="20"/>
        </w:rPr>
        <w:t>IES HOLDINGS, INC.</w:t>
      </w:r>
    </w:p>
    <w:tbl>
      <w:tblPr>
        <w:tblW w:w="39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37"/>
        <w:gridCol w:w="937"/>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lineRule="auto" w:line="288" w:before="360" w:after="283"/>
        <w:ind w:left="0" w:right="0" w:firstLine="360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80" w:after="283"/>
        <w:jc w:val="both"/>
        <w:rPr/>
      </w:pPr>
      <w:r>
        <w:rPr>
          <w:rFonts w:ascii="Times New Roman;serif" w:hAnsi="Times New Roman;serif"/>
          <w:b w:val="false"/>
          <w:color w:val="000000"/>
          <w:sz w:val="20"/>
        </w:rPr>
        <w:t>KNOW ALL MEN BY THESE PRESENTS, that each of the undersigned officers and directors of IES HOLDINGS, INC. hereby constitutes and appoints Matthew J. Simmes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w:t>
      </w:r>
      <w:r>
        <w:rPr>
          <w:color w:val="000000"/>
        </w:rPr>
        <w:t xml:space="preserve"> </w:t>
      </w:r>
      <w:r>
        <w:rPr>
          <w:rFonts w:ascii="Times New Roman;serif" w:hAnsi="Times New Roman;serif"/>
          <w:b w:val="false"/>
          <w:color w:val="000000"/>
          <w:sz w:val="20"/>
        </w:rPr>
        <w:t>agents, or either of them, or their or his substitutes or substitute, may lawfully do or cause to be done by virtue hereof.</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both"/>
        <w:rPr>
          <w:color w:val="000000"/>
        </w:rPr>
      </w:pPr>
      <w:r>
        <w:rPr>
          <w:color w:val="000000"/>
        </w:rPr>
        <w:t> </w:t>
      </w:r>
    </w:p>
    <w:tbl>
      <w:tblPr>
        <w:tblW w:w="809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299"/>
        <w:gridCol w:w="1299"/>
        <w:gridCol w:w="1316"/>
        <w:gridCol w:w="512"/>
        <w:gridCol w:w="512"/>
        <w:gridCol w:w="73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L. Gendell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Chairman of the Board</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L. Gendell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br/>
              <w:t> and Treasurer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val="false"/>
                <w:color w:val="000000"/>
                <w:sz w:val="20"/>
              </w:rPr>
              <w: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Jennifer A. Baldock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Jennifer A. Baldock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Todd M. Cleveland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Todd M. Cleveland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val="false"/>
                <w:color w:val="000000"/>
                <w:sz w:val="20"/>
              </w:rPr>
              <w: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John L. Fouts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John L. Fouts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val="false"/>
                <w:color w:val="000000"/>
                <w:sz w:val="20"/>
              </w:rPr>
              <w:t>s</w:t>
            </w:r>
            <w:r>
              <w:rPr>
                <w:rFonts w:ascii="Times New Roman;serif" w:hAnsi="Times New Roman;serif"/>
                <w:b/>
                <w:color w:val="000000"/>
                <w:sz w:val="20"/>
              </w:rPr>
              <w:t xml:space="preserve">/ </w:t>
            </w:r>
            <w:r>
              <w:rPr>
                <w:rFonts w:ascii="Times New Roman;serif" w:hAnsi="Times New Roman;serif"/>
                <w:b w:val="false"/>
                <w:color w:val="000000"/>
                <w:sz w:val="20"/>
              </w:rPr>
              <w:t>David B. Gendell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B. Gendell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val="false"/>
                <w:color w:val="000000"/>
                <w:sz w:val="20"/>
              </w:rPr>
              <w: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Kelly C. Janzen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Kelly C. Janzen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val="false"/>
                <w:color w:val="000000"/>
                <w:sz w:val="20"/>
              </w:rPr>
              <w:t>s</w:t>
            </w:r>
            <w:r>
              <w:rPr>
                <w:rFonts w:ascii="Times New Roman;serif" w:hAnsi="Times New Roman;serif"/>
                <w:b/>
                <w:color w:val="000000"/>
                <w:sz w:val="20"/>
              </w:rPr>
              <w:t xml:space="preserve">/ </w:t>
            </w:r>
            <w:r>
              <w:rPr>
                <w:rFonts w:ascii="Times New Roman;serif" w:hAnsi="Times New Roman;serif"/>
                <w:b w:val="false"/>
                <w:color w:val="000000"/>
                <w:sz w:val="20"/>
              </w:rPr>
              <w:t>Joe D. Koshkin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21, 2025</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Joe D. Koshkin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SIXTH AMENDMENT TO SUBLEASE AGREEMENT</w:t>
      </w:r>
    </w:p>
    <w:p>
      <w:pPr>
        <w:pStyle w:val="TextBody"/>
        <w:bidi w:val="0"/>
        <w:spacing w:before="0" w:after="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4"/>
          <w:shd w:fill="FFFFFF" w:val="clear"/>
        </w:rPr>
        <w:t>This Sixth Amendment to Sublease Agreement is entered into as of August 1, 2025 (the “</w:t>
      </w:r>
      <w:r>
        <w:rPr>
          <w:rFonts w:ascii="Times New Roman;serif" w:hAnsi="Times New Roman;serif"/>
          <w:b w:val="false"/>
          <w:color w:val="000000"/>
          <w:sz w:val="24"/>
          <w:u w:val="single"/>
          <w:shd w:fill="FFFFFF" w:val="clear"/>
        </w:rPr>
        <w:t>Sublease Amendment</w:t>
      </w:r>
      <w:r>
        <w:rPr>
          <w:color w:val="000000"/>
          <w:shd w:fill="FFFFFF" w:val="clear"/>
        </w:rPr>
        <w:t>”</w:t>
      </w:r>
      <w:r>
        <w:rPr>
          <w:rFonts w:ascii="Times New Roman;serif" w:hAnsi="Times New Roman;serif"/>
          <w:b w:val="false"/>
          <w:color w:val="000000"/>
          <w:sz w:val="24"/>
          <w:shd w:fill="FFFFFF" w:val="clear"/>
        </w:rPr>
        <w:t>), by and between </w:t>
      </w:r>
      <w:r>
        <w:rPr>
          <w:rFonts w:ascii="Times New Roman;serif" w:hAnsi="Times New Roman;serif"/>
          <w:b/>
          <w:color w:val="000000"/>
          <w:sz w:val="24"/>
          <w:shd w:fill="FFFFFF" w:val="clear"/>
        </w:rPr>
        <w:t>TONTINE ASSOCIATES, LLC</w:t>
      </w:r>
      <w:r>
        <w:rPr>
          <w:rFonts w:ascii="Times New Roman;serif" w:hAnsi="Times New Roman;serif"/>
          <w:b w:val="false"/>
          <w:color w:val="000000"/>
          <w:sz w:val="24"/>
          <w:shd w:fill="FFFFFF" w:val="clear"/>
        </w:rPr>
        <w:t>, having an office at One Sound Shore Drive, Suite 304, Greenwich, Connecticut 06830 (the “</w:t>
      </w:r>
      <w:r>
        <w:rPr>
          <w:rFonts w:ascii="Times New Roman;serif" w:hAnsi="Times New Roman;serif"/>
          <w:b w:val="false"/>
          <w:color w:val="000000"/>
          <w:sz w:val="24"/>
          <w:u w:val="single"/>
          <w:shd w:fill="FFFFFF" w:val="clear"/>
        </w:rPr>
        <w:t>Sublessor</w:t>
      </w:r>
      <w:r>
        <w:rPr>
          <w:color w:val="000000"/>
          <w:shd w:fill="FFFFFF" w:val="clear"/>
        </w:rPr>
        <w:t>”</w:t>
      </w:r>
      <w:r>
        <w:rPr>
          <w:rFonts w:ascii="Times New Roman;serif" w:hAnsi="Times New Roman;serif"/>
          <w:b w:val="false"/>
          <w:color w:val="000000"/>
          <w:sz w:val="24"/>
          <w:shd w:fill="FFFFFF" w:val="clear"/>
        </w:rPr>
        <w:t>), and </w:t>
      </w:r>
      <w:r>
        <w:rPr>
          <w:rFonts w:ascii="Times New Roman;serif" w:hAnsi="Times New Roman;serif"/>
          <w:b/>
          <w:color w:val="000000"/>
          <w:sz w:val="24"/>
          <w:shd w:fill="FFFFFF" w:val="clear"/>
        </w:rPr>
        <w:t>IES MANAGEMENT ROO, LP</w:t>
      </w:r>
      <w:r>
        <w:rPr>
          <w:rFonts w:ascii="Times New Roman;serif" w:hAnsi="Times New Roman;serif"/>
          <w:b w:val="false"/>
          <w:color w:val="000000"/>
          <w:sz w:val="24"/>
          <w:shd w:fill="FFFFFF" w:val="clear"/>
        </w:rPr>
        <w:t>, sharing office space with Sublessor (the “</w:t>
      </w:r>
      <w:r>
        <w:rPr>
          <w:rFonts w:ascii="Times New Roman;serif" w:hAnsi="Times New Roman;serif"/>
          <w:b w:val="false"/>
          <w:color w:val="000000"/>
          <w:sz w:val="24"/>
          <w:u w:val="single"/>
          <w:shd w:fill="FFFFFF" w:val="clear"/>
        </w:rPr>
        <w:t>Sublessee</w:t>
      </w:r>
      <w:r>
        <w:rPr>
          <w:color w:val="000000"/>
          <w:shd w:fill="FFFFFF" w:val="clear"/>
        </w:rPr>
        <w:t xml:space="preserve">” </w:t>
      </w:r>
      <w:r>
        <w:rPr>
          <w:rFonts w:ascii="Times New Roman;serif" w:hAnsi="Times New Roman;serif"/>
          <w:b w:val="false"/>
          <w:color w:val="000000"/>
          <w:sz w:val="24"/>
          <w:shd w:fill="FFFFFF" w:val="clear"/>
        </w:rPr>
        <w:t>and, together with the Sublessor, the “</w:t>
      </w:r>
      <w:r>
        <w:rPr>
          <w:rFonts w:ascii="Times New Roman;serif" w:hAnsi="Times New Roman;serif"/>
          <w:b w:val="false"/>
          <w:color w:val="000000"/>
          <w:sz w:val="24"/>
          <w:u w:val="single"/>
          <w:shd w:fill="FFFFFF" w:val="clear"/>
        </w:rPr>
        <w:t>Parties</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before="0" w:after="0"/>
        <w:ind w:left="0" w:right="0" w:firstLine="490"/>
        <w:jc w:val="left"/>
        <w:rPr/>
      </w:pPr>
      <w:r>
        <w:rPr/>
      </w:r>
    </w:p>
    <w:p>
      <w:pPr>
        <w:pStyle w:val="TextBody"/>
        <w:bidi w:val="0"/>
        <w:spacing w:lineRule="auto" w:line="288" w:before="0" w:after="0"/>
        <w:ind w:left="0" w:right="0" w:firstLine="490"/>
        <w:jc w:val="both"/>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the Sublessor and </w:t>
      </w:r>
      <w:r>
        <w:rPr>
          <w:rFonts w:ascii="Times New Roman;serif" w:hAnsi="Times New Roman;serif"/>
          <w:b/>
          <w:color w:val="000000"/>
          <w:sz w:val="24"/>
          <w:shd w:fill="FFFFFF" w:val="clear"/>
        </w:rPr>
        <w:t>IES SHARED SERVICES, INC. </w:t>
      </w: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Original Sublessee</w:t>
      </w:r>
      <w:r>
        <w:rPr>
          <w:color w:val="000000"/>
          <w:shd w:fill="FFFFFF" w:val="clear"/>
        </w:rPr>
        <w:t>”</w:t>
      </w:r>
      <w:r>
        <w:rPr>
          <w:rFonts w:ascii="Times New Roman;serif" w:hAnsi="Times New Roman;serif"/>
          <w:b w:val="false"/>
          <w:color w:val="000000"/>
          <w:sz w:val="24"/>
          <w:shd w:fill="FFFFFF" w:val="clear"/>
        </w:rPr>
        <w:t>), are parties to a Sublease dated March 29, 2012 (“</w:t>
      </w:r>
      <w:r>
        <w:rPr>
          <w:rFonts w:ascii="Times New Roman;serif" w:hAnsi="Times New Roman;serif"/>
          <w:b w:val="false"/>
          <w:color w:val="000000"/>
          <w:sz w:val="24"/>
          <w:u w:val="single"/>
          <w:shd w:fill="FFFFFF" w:val="clear"/>
        </w:rPr>
        <w:t>Original Sublease</w:t>
      </w:r>
      <w:r>
        <w:rPr>
          <w:color w:val="000000"/>
          <w:shd w:fill="FFFFFF" w:val="clear"/>
        </w:rPr>
        <w:t>”</w:t>
      </w:r>
      <w:r>
        <w:rPr>
          <w:rFonts w:ascii="Times New Roman;serif" w:hAnsi="Times New Roman;serif"/>
          <w:b w:val="false"/>
          <w:color w:val="000000"/>
          <w:sz w:val="24"/>
          <w:shd w:fill="FFFFFF" w:val="clear"/>
        </w:rPr>
        <w:t>), for a portion of the premises (the “</w:t>
      </w:r>
      <w:r>
        <w:rPr>
          <w:rFonts w:ascii="Times New Roman;serif" w:hAnsi="Times New Roman;serif"/>
          <w:b w:val="false"/>
          <w:color w:val="000000"/>
          <w:sz w:val="24"/>
          <w:u w:val="single"/>
          <w:shd w:fill="FFFFFF" w:val="clear"/>
        </w:rPr>
        <w:t>Subleased Premises</w:t>
      </w:r>
      <w:r>
        <w:rPr>
          <w:color w:val="000000"/>
          <w:shd w:fill="FFFFFF" w:val="clear"/>
        </w:rPr>
        <w:t>”</w:t>
      </w:r>
      <w:r>
        <w:rPr>
          <w:rFonts w:ascii="Times New Roman;serif" w:hAnsi="Times New Roman;serif"/>
          <w:b w:val="false"/>
          <w:color w:val="000000"/>
          <w:sz w:val="24"/>
          <w:shd w:fill="FFFFFF" w:val="clear"/>
        </w:rPr>
        <w:t>) located at One Sound Shore Drive, Suite 304, Greenwich, Connecticut 06830 (the “</w:t>
      </w:r>
      <w:r>
        <w:rPr>
          <w:rFonts w:ascii="Times New Roman;serif" w:hAnsi="Times New Roman;serif"/>
          <w:b w:val="false"/>
          <w:color w:val="000000"/>
          <w:sz w:val="24"/>
          <w:u w:val="single"/>
          <w:shd w:fill="FFFFFF" w:val="clear"/>
        </w:rPr>
        <w:t>Lease Premises</w:t>
      </w:r>
      <w:r>
        <w:rPr>
          <w:color w:val="000000"/>
          <w:shd w:fill="FFFFFF" w:val="clear"/>
        </w:rPr>
        <w:t>”</w:t>
      </w:r>
      <w:r>
        <w:rPr>
          <w:rFonts w:ascii="Times New Roman;serif" w:hAnsi="Times New Roman;serif"/>
          <w:b w:val="false"/>
          <w:color w:val="000000"/>
          <w:sz w:val="24"/>
          <w:shd w:fill="FFFFFF" w:val="clear"/>
        </w:rPr>
        <w:t>), which is leased by Sublessor from Sound Shore Partners LLC pursuant to a Lease Agreement (the “</w:t>
      </w:r>
      <w:r>
        <w:rPr>
          <w:rFonts w:ascii="Times New Roman;serif" w:hAnsi="Times New Roman;serif"/>
          <w:b w:val="false"/>
          <w:color w:val="000000"/>
          <w:sz w:val="24"/>
          <w:u w:val="single"/>
          <w:shd w:fill="FFFFFF" w:val="clear"/>
        </w:rPr>
        <w:t>Lease Agreement</w:t>
      </w:r>
      <w:r>
        <w:rPr>
          <w:color w:val="000000"/>
          <w:shd w:fill="FFFFFF" w:val="clear"/>
        </w:rPr>
        <w:t>”</w:t>
      </w:r>
      <w:r>
        <w:rPr>
          <w:rFonts w:ascii="Times New Roman;serif" w:hAnsi="Times New Roman;serif"/>
          <w:b w:val="false"/>
          <w:color w:val="000000"/>
          <w:sz w:val="24"/>
          <w:shd w:fill="FFFFFF" w:val="clear"/>
        </w:rPr>
        <w:t>);</w:t>
      </w:r>
    </w:p>
    <w:p>
      <w:pPr>
        <w:pStyle w:val="TextBody"/>
        <w:bidi w:val="0"/>
        <w:spacing w:before="0" w:after="0"/>
        <w:ind w:left="0" w:right="0" w:firstLine="490"/>
        <w:jc w:val="left"/>
        <w:rPr/>
      </w:pPr>
      <w:r>
        <w:rPr/>
      </w:r>
    </w:p>
    <w:p>
      <w:pPr>
        <w:pStyle w:val="TextBody"/>
        <w:bidi w:val="0"/>
        <w:spacing w:lineRule="auto" w:line="288" w:before="0" w:after="0"/>
        <w:ind w:left="0" w:right="0" w:firstLine="490"/>
        <w:jc w:val="both"/>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the Original Sublease expired on March 31, 2016 and (i) was amended by that certain First Amendment to the Original Sublease dated April 1, 2016 between the Sublessor, Original Sublessee and Sublessee (the “</w:t>
      </w:r>
      <w:r>
        <w:rPr>
          <w:rFonts w:ascii="Times New Roman;serif" w:hAnsi="Times New Roman;serif"/>
          <w:b w:val="false"/>
          <w:color w:val="000000"/>
          <w:sz w:val="24"/>
          <w:u w:val="single"/>
          <w:shd w:fill="FFFFFF" w:val="clear"/>
        </w:rPr>
        <w:t>First Amendment”)</w:t>
      </w:r>
      <w:r>
        <w:rPr>
          <w:rFonts w:ascii="Times New Roman;serif" w:hAnsi="Times New Roman;serif"/>
          <w:b w:val="false"/>
          <w:color w:val="000000"/>
          <w:sz w:val="24"/>
          <w:shd w:fill="FFFFFF" w:val="clear"/>
        </w:rPr>
        <w:t>, pursuant to which the Original Sublease was novated with respect to the Original Sublessee, and the Sublessee was substituted in place of the Original Sublessee under the Sublease, and the lease term was extended to June 30, 2019, and (ii) was further amended by that certain Second Amendment to the Original Sublease dated May 1, 2019 (the “</w:t>
      </w:r>
      <w:r>
        <w:rPr>
          <w:rFonts w:ascii="Times New Roman;serif" w:hAnsi="Times New Roman;serif"/>
          <w:b w:val="false"/>
          <w:color w:val="000000"/>
          <w:sz w:val="24"/>
          <w:u w:val="single"/>
          <w:shd w:fill="FFFFFF" w:val="clear"/>
        </w:rPr>
        <w:t>Second Amendment</w:t>
      </w:r>
      <w:r>
        <w:rPr>
          <w:color w:val="000000"/>
          <w:shd w:fill="FFFFFF" w:val="clear"/>
        </w:rPr>
        <w:t>”</w:t>
      </w:r>
      <w:r>
        <w:rPr>
          <w:rFonts w:ascii="Times New Roman;serif" w:hAnsi="Times New Roman;serif"/>
          <w:b w:val="false"/>
          <w:color w:val="000000"/>
          <w:sz w:val="24"/>
          <w:shd w:fill="FFFFFF" w:val="clear"/>
        </w:rPr>
        <w:t>), pursuant to which the lease term was further extended to December 31, 2019, and (iii) was further amended by that certain Third Amendment to the Original Sublease dated November 5, 2019 (the “</w:t>
      </w:r>
      <w:r>
        <w:rPr>
          <w:rFonts w:ascii="Times New Roman;serif" w:hAnsi="Times New Roman;serif"/>
          <w:b w:val="false"/>
          <w:color w:val="000000"/>
          <w:sz w:val="24"/>
          <w:u w:val="single"/>
          <w:shd w:fill="FFFFFF" w:val="clear"/>
        </w:rPr>
        <w:t>Third Amendment</w:t>
      </w:r>
      <w:r>
        <w:rPr>
          <w:color w:val="000000"/>
          <w:shd w:fill="FFFFFF" w:val="clear"/>
        </w:rPr>
        <w:t>”</w:t>
      </w:r>
      <w:r>
        <w:rPr>
          <w:rFonts w:ascii="Times New Roman;serif" w:hAnsi="Times New Roman;serif"/>
          <w:b w:val="false"/>
          <w:color w:val="000000"/>
          <w:sz w:val="24"/>
          <w:shd w:fill="FFFFFF" w:val="clear"/>
        </w:rPr>
        <w:t>) pursuant to which the lease term was further extended to February 28, 2023 and (iv) was further amended by that certain Fourth Amendment to the Original Sublease dated December 16, 2022 (the “</w:t>
      </w:r>
      <w:r>
        <w:rPr>
          <w:rFonts w:ascii="Times New Roman;serif" w:hAnsi="Times New Roman;serif"/>
          <w:b w:val="false"/>
          <w:color w:val="000000"/>
          <w:sz w:val="24"/>
          <w:u w:val="single"/>
          <w:shd w:fill="FFFFFF" w:val="clear"/>
        </w:rPr>
        <w:t>Fourth Amendment</w:t>
      </w:r>
      <w:r>
        <w:rPr>
          <w:color w:val="000000"/>
          <w:shd w:fill="FFFFFF" w:val="clear"/>
        </w:rPr>
        <w:t>”</w:t>
      </w:r>
      <w:r>
        <w:rPr>
          <w:rFonts w:ascii="Times New Roman;serif" w:hAnsi="Times New Roman;serif"/>
          <w:b w:val="false"/>
          <w:color w:val="000000"/>
          <w:sz w:val="24"/>
          <w:shd w:fill="FFFFFF" w:val="clear"/>
        </w:rPr>
        <w:t>) and (v) was further amended by that certain Fifth Amendment to the Original Sublease dated August 1, 2024 (the “</w:t>
      </w:r>
      <w:r>
        <w:rPr>
          <w:rFonts w:ascii="Times New Roman;serif" w:hAnsi="Times New Roman;serif"/>
          <w:b w:val="false"/>
          <w:color w:val="000000"/>
          <w:sz w:val="24"/>
          <w:u w:val="single"/>
          <w:shd w:fill="FFFFFF" w:val="clear"/>
        </w:rPr>
        <w:t>Fifth Amendment</w:t>
      </w:r>
      <w:r>
        <w:rPr>
          <w:color w:val="000000"/>
          <w:shd w:fill="FFFFFF" w:val="clear"/>
        </w:rPr>
        <w:t xml:space="preserve">” </w:t>
      </w:r>
      <w:r>
        <w:rPr>
          <w:rFonts w:ascii="Times New Roman;serif" w:hAnsi="Times New Roman;serif"/>
          <w:b w:val="false"/>
          <w:color w:val="000000"/>
          <w:sz w:val="24"/>
          <w:shd w:fill="FFFFFF" w:val="clear"/>
        </w:rPr>
        <w:t>and, together with the Fourth Amendment, the Third Amendment, the Second Amendment, the First Amendment and the Original Sublease, the “</w:t>
      </w:r>
      <w:r>
        <w:rPr>
          <w:rFonts w:ascii="Times New Roman;serif" w:hAnsi="Times New Roman;serif"/>
          <w:b w:val="false"/>
          <w:color w:val="000000"/>
          <w:sz w:val="24"/>
          <w:u w:val="single"/>
          <w:shd w:fill="FFFFFF" w:val="clear"/>
        </w:rPr>
        <w:t>Sublease</w:t>
      </w:r>
      <w:r>
        <w:rPr>
          <w:color w:val="000000"/>
          <w:shd w:fill="FFFFFF" w:val="clear"/>
        </w:rPr>
        <w:t>”</w:t>
      </w:r>
      <w:r>
        <w:rPr>
          <w:rFonts w:ascii="Times New Roman;serif" w:hAnsi="Times New Roman;serif"/>
          <w:b w:val="false"/>
          <w:color w:val="000000"/>
          <w:sz w:val="24"/>
          <w:shd w:fill="FFFFFF" w:val="clear"/>
        </w:rPr>
        <w:t>), pursuant to which the lease term was further extended to September 30, 2025;</w:t>
      </w:r>
    </w:p>
    <w:p>
      <w:pPr>
        <w:pStyle w:val="TextBody"/>
        <w:bidi w:val="0"/>
        <w:spacing w:before="0" w:after="0"/>
        <w:ind w:left="0" w:right="0" w:firstLine="490"/>
        <w:jc w:val="left"/>
        <w:rPr/>
      </w:pPr>
      <w:r>
        <w:rPr/>
      </w:r>
    </w:p>
    <w:p>
      <w:pPr>
        <w:pStyle w:val="TextBody"/>
        <w:bidi w:val="0"/>
        <w:spacing w:lineRule="auto" w:line="288" w:before="0" w:after="0"/>
        <w:ind w:left="0" w:right="0" w:firstLine="490"/>
        <w:jc w:val="both"/>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Sublessor has renewed its Lease Agreement for the Lease Premises effective March 11, 2024 for a term expiring on December 31, 2026, and</w:t>
      </w:r>
    </w:p>
    <w:p>
      <w:pPr>
        <w:pStyle w:val="TextBody"/>
        <w:bidi w:val="0"/>
        <w:spacing w:before="0" w:after="0"/>
        <w:ind w:left="0" w:right="0" w:firstLine="490"/>
        <w:jc w:val="left"/>
        <w:rPr/>
      </w:pPr>
      <w:r>
        <w:rPr/>
      </w:r>
    </w:p>
    <w:p>
      <w:pPr>
        <w:pStyle w:val="TextBody"/>
        <w:bidi w:val="0"/>
        <w:spacing w:lineRule="auto" w:line="288" w:before="0" w:after="0"/>
        <w:ind w:left="0" w:right="0" w:firstLine="490"/>
        <w:jc w:val="both"/>
        <w:rPr/>
      </w:pPr>
      <w:r>
        <w:rPr>
          <w:rFonts w:ascii="Times New Roman;serif" w:hAnsi="Times New Roman;serif"/>
          <w:b/>
          <w:color w:val="000000"/>
          <w:sz w:val="24"/>
          <w:shd w:fill="FFFFFF" w:val="clear"/>
        </w:rPr>
        <w:t>WHEREAS</w:t>
      </w:r>
      <w:r>
        <w:rPr>
          <w:rFonts w:ascii="Times New Roman;serif" w:hAnsi="Times New Roman;serif"/>
          <w:b w:val="false"/>
          <w:color w:val="000000"/>
          <w:sz w:val="24"/>
          <w:shd w:fill="FFFFFF" w:val="clear"/>
        </w:rPr>
        <w:t>, the Parties desire to amend the Sublease, effective as of September 1, 2025 (the “</w:t>
      </w:r>
      <w:r>
        <w:rPr>
          <w:rFonts w:ascii="Times New Roman;serif" w:hAnsi="Times New Roman;serif"/>
          <w:b w:val="false"/>
          <w:color w:val="000000"/>
          <w:sz w:val="24"/>
          <w:u w:val="single"/>
          <w:shd w:fill="FFFFFF" w:val="clear"/>
        </w:rPr>
        <w:t>Effective Date</w:t>
      </w:r>
      <w:r>
        <w:rPr>
          <w:color w:val="000000"/>
          <w:shd w:fill="FFFFFF" w:val="clear"/>
        </w:rPr>
        <w:t>”</w:t>
      </w:r>
      <w:r>
        <w:rPr>
          <w:rFonts w:ascii="Times New Roman;serif" w:hAnsi="Times New Roman;serif"/>
          <w:b w:val="false"/>
          <w:color w:val="000000"/>
          <w:sz w:val="24"/>
          <w:shd w:fill="FFFFFF" w:val="clear"/>
        </w:rPr>
        <w:t>), as set forth below to extend the term of the Sublease for a period of twelve (12) months and to reflect applicable lease rates therein of the Subleased Premises.</w:t>
      </w:r>
    </w:p>
    <w:p>
      <w:pPr>
        <w:pStyle w:val="TextBody"/>
        <w:bidi w:val="0"/>
        <w:spacing w:before="0" w:after="0"/>
        <w:ind w:left="0" w:right="0" w:firstLine="490"/>
        <w:jc w:val="left"/>
        <w:rPr/>
      </w:pPr>
      <w:r>
        <w:rPr/>
      </w:r>
    </w:p>
    <w:p>
      <w:pPr>
        <w:pStyle w:val="TextBody"/>
        <w:bidi w:val="0"/>
        <w:spacing w:lineRule="auto" w:line="288" w:before="0" w:after="0"/>
        <w:ind w:left="0" w:right="0" w:firstLine="490"/>
        <w:jc w:val="both"/>
        <w:rPr/>
      </w:pPr>
      <w:r>
        <w:rPr>
          <w:rFonts w:ascii="Times New Roman;serif" w:hAnsi="Times New Roman;serif"/>
          <w:b/>
          <w:color w:val="000000"/>
          <w:sz w:val="24"/>
          <w:shd w:fill="FFFFFF" w:val="clear"/>
        </w:rPr>
        <w:t>NOW THEREFORE</w:t>
      </w:r>
      <w:r>
        <w:rPr>
          <w:rFonts w:ascii="Times New Roman;serif" w:hAnsi="Times New Roman;serif"/>
          <w:b w:val="false"/>
          <w:color w:val="000000"/>
          <w:sz w:val="24"/>
          <w:shd w:fill="FFFFFF" w:val="clear"/>
        </w:rPr>
        <w:t>, in consideration for the mutual and reciprocal promises contained herein and for other good and valuable consideration, the receipt and sufficiency of which is hereby acknowledged, the Parties hereby agree to amend the Sublease as follows:</w:t>
      </w:r>
    </w:p>
    <w:p>
      <w:pPr>
        <w:pStyle w:val="TextBody"/>
        <w:bidi w:val="0"/>
        <w:spacing w:before="0" w:after="0"/>
        <w:ind w:left="0" w:right="0" w:firstLine="720"/>
        <w:jc w:val="both"/>
        <w:rPr/>
      </w:pPr>
      <w:r>
        <w:rPr/>
      </w:r>
    </w:p>
    <w:p>
      <w:pPr>
        <w:pStyle w:val="TextBody"/>
        <w:bidi w:val="0"/>
        <w:spacing w:lineRule="auto" w:line="240"/>
        <w:ind w:left="0" w:right="0" w:firstLine="490"/>
        <w:jc w:val="left"/>
        <w:rPr>
          <w:rFonts w:ascii="Times New Roman;serif" w:hAnsi="Times New Roman;serif"/>
          <w:b w:val="false"/>
          <w:color w:val="000000"/>
          <w:sz w:val="24"/>
        </w:rPr>
      </w:pPr>
      <w:r>
        <w:rPr>
          <w:rFonts w:ascii="Times New Roman;serif" w:hAnsi="Times New Roman;serif"/>
          <w:b w:val="false"/>
          <w:color w:val="000000"/>
          <w:sz w:val="24"/>
        </w:rPr>
        <w:t>All capitalized terms not otherwise defined herein shall have the meanings ascribed thereto in the Sublease.</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The Term of the Sublease shall be extended for twelve (12) months so that the Sublease Expiration Date shall be September 30, 2026. </w:t>
      </w:r>
    </w:p>
    <w:p>
      <w:pPr>
        <w:pStyle w:val="TextBody"/>
        <w:bidi w:val="0"/>
        <w:spacing w:lineRule="auto" w:line="240" w:before="0" w:after="2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Base Rent</w:t>
      </w:r>
      <w:r>
        <w:rPr>
          <w:rFonts w:ascii="Times New Roman;serif" w:hAnsi="Times New Roman;serif"/>
          <w:b w:val="false"/>
          <w:color w:val="000000"/>
          <w:sz w:val="24"/>
        </w:rPr>
        <w:t>. As of the Effective Date, the first paragraph of Section 2.1 of the Sublease is hereby deleted and the following is inserted in its place:</w:t>
      </w:r>
    </w:p>
    <w:p>
      <w:pPr>
        <w:pStyle w:val="TextBody"/>
        <w:bidi w:val="0"/>
        <w:spacing w:lineRule="auto" w:line="240" w:before="0" w:after="0"/>
        <w:ind w:left="0" w:right="0" w:firstLine="720"/>
        <w:jc w:val="left"/>
        <w:rPr/>
      </w:pPr>
      <w:r>
        <w:rPr>
          <w:rFonts w:ascii="Times New Roman;serif" w:hAnsi="Times New Roman;serif"/>
          <w:b w:val="false"/>
          <w:color w:val="000000"/>
          <w:sz w:val="24"/>
        </w:rPr>
        <w:t>(a) Base</w:t>
      </w:r>
      <w:r>
        <w:rPr>
          <w:color w:val="000000"/>
          <w:u w:val="single"/>
        </w:rPr>
        <w:t xml:space="preserve"> </w:t>
      </w:r>
      <w:r>
        <w:rPr>
          <w:rFonts w:ascii="Times New Roman;serif" w:hAnsi="Times New Roman;serif"/>
          <w:b w:val="false"/>
          <w:color w:val="000000"/>
          <w:sz w:val="24"/>
          <w:u w:val="single"/>
        </w:rPr>
        <w:t>Rent</w:t>
      </w:r>
      <w:r>
        <w:rPr>
          <w:rFonts w:ascii="Times New Roman;serif" w:hAnsi="Times New Roman;serif"/>
          <w:b w:val="false"/>
          <w:color w:val="000000"/>
          <w:sz w:val="24"/>
        </w:rPr>
        <w:t>. As of the Effective Date and continuing thereafter on the first day of each and every calendar month during the term of this Sublease, Sublessee shall pay to Sublessor, as base rent for the Subleased Premises, monthly rent (exclusive of any Additional Rent pursuant to and in accordance with Article 2.2 of the Original Sublease) (the “Base Rent”) for each calendar month or portion thereof during the Term of this Sublease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23"/>
        <w:gridCol w:w="1949"/>
        <w:gridCol w:w="1977"/>
        <w:gridCol w:w="694"/>
        <w:gridCol w:w="618"/>
        <w:gridCol w:w="614"/>
        <w:gridCol w:w="622"/>
        <w:gridCol w:w="622"/>
        <w:gridCol w:w="886"/>
      </w:tblGrid>
      <w:tr>
        <w:trPr/>
        <w:tc>
          <w:tcPr>
            <w:tcW w:w="222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Period</w:t>
            </w:r>
          </w:p>
        </w:tc>
        <w:tc>
          <w:tcPr>
            <w:tcW w:w="19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Annual Base Rent*</w:t>
            </w:r>
          </w:p>
        </w:tc>
        <w:tc>
          <w:tcPr>
            <w:tcW w:w="21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Monthly Installment*</w:t>
            </w:r>
          </w:p>
        </w:tc>
      </w:tr>
      <w:tr>
        <w:trPr/>
        <w:tc>
          <w:tcPr>
            <w:tcW w:w="61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from September 1, 2025 through and including the Sublease Expiration Date.</w:t>
            </w:r>
          </w:p>
        </w:tc>
        <w:tc>
          <w:tcPr>
            <w:tcW w:w="19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$105,718.50</w:t>
            </w:r>
          </w:p>
        </w:tc>
        <w:tc>
          <w:tcPr>
            <w:tcW w:w="213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$8,809.87</w:t>
            </w:r>
          </w:p>
        </w:tc>
      </w:tr>
    </w:tbl>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See Exhibit B for a reconciliation of these amounts to amounts payable by Sublessor under renewed Lease Agreement.</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Additional Rent. Sublessee shall continue to pay the Additional Rent due and owing under the Sublease pursuant to and in accordance with Article 2.2 of the Original Sublease.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Sublessor Representations and Warranties.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Sublessor hereby represents and warrants to Sublessee the following:</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 xml:space="preserve">(i)attached hereto, marked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is a true, complete, and correct copy of the Prime Lease;</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4"/>
        </w:rPr>
        <w:t xml:space="preserve">(ii)the Prime Lease is in full force and effect and has not been amended or modified except as expressly set forth in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This Sublease Amendment may be executed in one or more counterparts, each of which shall be deemed an original, but all of which together shall constitute one and the same instrument.</w:t>
      </w:r>
    </w:p>
    <w:p>
      <w:pPr>
        <w:pStyle w:val="TextBody"/>
        <w:bidi w:val="0"/>
        <w:spacing w:before="0" w:after="0"/>
        <w:jc w:val="left"/>
        <w:rPr/>
      </w:pPr>
      <w:r>
        <w:rPr/>
      </w:r>
    </w:p>
    <w:p>
      <w:pPr>
        <w:pStyle w:val="TextBody"/>
        <w:bidi w:val="0"/>
        <w:spacing w:lineRule="auto" w:line="240" w:before="0" w:after="180"/>
        <w:jc w:val="both"/>
        <w:rPr/>
      </w:pPr>
      <w:r>
        <w:rPr>
          <w:rFonts w:ascii="Times New Roman;serif" w:hAnsi="Times New Roman;serif"/>
          <w:b w:val="false"/>
          <w:color w:val="000000"/>
          <w:sz w:val="24"/>
        </w:rPr>
        <w:t>5.</w:t>
      </w:r>
      <w:r>
        <w:rPr>
          <w:rFonts w:ascii="Times New Roman;serif" w:hAnsi="Times New Roman;serif"/>
          <w:b w:val="false"/>
          <w:color w:val="000000"/>
          <w:sz w:val="24"/>
        </w:rPr>
        <w:t>All other terms and conditions of the Sublease shall remain the same and in full force and effect.</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Sublessor and Sublessee have duly executed this Sublease Amendment as of the day and year first above written.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4"/>
        </w:rPr>
        <w:t>SUBLESSOR:</w:t>
      </w:r>
      <w:r>
        <w:rPr>
          <w:rFonts w:ascii="Times New Roman;serif" w:hAnsi="Times New Roman;serif"/>
          <w:b w:val="false"/>
          <w:color w:val="000000"/>
          <w:sz w:val="24"/>
        </w:rPr>
        <w:br/>
        <w:t>TONTINE ASSOCIATES, L.L.C., a Delaware limited liability company</w:t>
        <w:br/>
        <w:br/>
        <w:t>By:    </w:t>
      </w:r>
      <w:r>
        <w:rPr>
          <w:rFonts w:ascii="Times New Roman;serif" w:hAnsi="Times New Roman;serif"/>
          <w:b w:val="false"/>
          <w:color w:val="000000"/>
          <w:sz w:val="24"/>
          <w:u w:val="single"/>
        </w:rPr>
        <w:t xml:space="preserve">/s/ Jeffrey L. Gendell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Jeffrey L. Gendell </w:t>
        <w:br/>
        <w:t>Title: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SUBLESSEE:</w:t>
        <w:br/>
      </w:r>
      <w:r>
        <w:rPr>
          <w:rFonts w:ascii="Times New Roman;serif" w:hAnsi="Times New Roman;serif"/>
          <w:b w:val="false"/>
          <w:color w:val="000000"/>
          <w:sz w:val="24"/>
        </w:rPr>
        <w:t>IES MANAGEMENT ROO, L.P., a Texas limited partnership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br/>
        <w:t>By: IES OPERATIONS GROUP, INC., its General Partner</w:t>
      </w:r>
    </w:p>
    <w:p>
      <w:pPr>
        <w:pStyle w:val="TextBody"/>
        <w:bidi w:val="0"/>
        <w:spacing w:lineRule="auto" w:line="288" w:before="0" w:after="0"/>
        <w:jc w:val="left"/>
        <w:rPr/>
      </w:pPr>
      <w:r>
        <w:rPr>
          <w:rFonts w:ascii="Times New Roman;serif" w:hAnsi="Times New Roman;serif"/>
          <w:b w:val="false"/>
          <w:color w:val="000000"/>
          <w:sz w:val="24"/>
        </w:rPr>
        <w:br/>
        <w:t>By:    </w:t>
      </w:r>
      <w:r>
        <w:rPr>
          <w:rFonts w:ascii="Times New Roman;serif" w:hAnsi="Times New Roman;serif"/>
          <w:b w:val="false"/>
          <w:color w:val="000000"/>
          <w:sz w:val="24"/>
          <w:u w:val="single"/>
        </w:rPr>
        <w:t xml:space="preserve">/s/ Tracy McLauchlin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Tracy McLauchlin</w:t>
        <w:br/>
        <w:t>Title: President &amp;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Prime Lease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val="false"/>
          <w:color w:val="000000"/>
          <w:sz w:val="24"/>
          <w:u w:val="single"/>
        </w:rPr>
        <w:t>Exhibit B</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IES Sixth Amendment to Sublease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Amounts Payable by Sublessor Under Lease Renewal and Amounts Payable by Sublessee Under Sixth Amendment to Sublease Agreement</w:t>
      </w:r>
    </w:p>
    <w:p>
      <w:pPr>
        <w:pStyle w:val="TextBody"/>
        <w:bidi w:val="0"/>
        <w:spacing w:before="0" w:after="0"/>
        <w:jc w:val="center"/>
        <w:rPr/>
      </w:pPr>
      <w:r>
        <w:rPr/>
      </w:r>
    </w:p>
    <w:tbl>
      <w:tblPr>
        <w:tblW w:w="9910" w:type="dxa"/>
        <w:jc w:val="left"/>
        <w:tblInd w:w="0" w:type="dxa"/>
        <w:tblLayout w:type="fixed"/>
        <w:tblCellMar>
          <w:top w:w="28" w:type="dxa"/>
          <w:left w:w="28" w:type="dxa"/>
          <w:bottom w:w="28" w:type="dxa"/>
          <w:right w:w="28" w:type="dxa"/>
        </w:tblCellMar>
      </w:tblPr>
      <w:tblGrid>
        <w:gridCol w:w="2928"/>
        <w:gridCol w:w="2574"/>
        <w:gridCol w:w="2582"/>
        <w:gridCol w:w="109"/>
        <w:gridCol w:w="109"/>
        <w:gridCol w:w="109"/>
        <w:gridCol w:w="451"/>
        <w:gridCol w:w="451"/>
        <w:gridCol w:w="597"/>
      </w:tblGrid>
      <w:tr>
        <w:trPr/>
        <w:tc>
          <w:tcPr>
            <w:tcW w:w="2928"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80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9/1/25-9/30/26</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3,690</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 Share of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2,214</w:t>
            </w:r>
          </w:p>
        </w:tc>
      </w:tr>
      <w:tr>
        <w:trPr/>
        <w:tc>
          <w:tcPr>
            <w:tcW w:w="8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Fixed Rent Payable by Sublessor before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$ 166,050.00 </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color w:val="000000"/>
                <w:u w:val="single"/>
              </w:rPr>
              <w:t>     </w:t>
            </w:r>
            <w:r>
              <w:rPr>
                <w:rFonts w:ascii="Times New Roman;serif" w:hAnsi="Times New Roman;serif"/>
                <w:b w:val="false"/>
                <w:color w:val="000000"/>
                <w:sz w:val="20"/>
                <w:u w:val="single"/>
              </w:rPr>
              <w:t xml:space="preserve">10,147.50 </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Fixed Rent Payable by Sublessor including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$ 176,197.50 </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Fixed Rent per Square Foot Payable by Sublessor including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$47.75</w:t>
            </w:r>
          </w:p>
        </w:tc>
      </w:tr>
      <w:tr>
        <w:trPr/>
        <w:tc>
          <w:tcPr>
            <w:tcW w:w="8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Sublessee’s % Share of Annual Fixed Rent Payable by Sublessor including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60%</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Sublessee’s Annual Base Rent Payable under Sublease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$ 105,718.50 </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Sublessee’s Annual Base Rent per Square Foot Payable under Sublease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$47.75</w:t>
            </w:r>
          </w:p>
        </w:tc>
      </w:tr>
      <w:tr>
        <w:trPr/>
        <w:tc>
          <w:tcPr>
            <w:tcW w:w="8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Fixed Rent Payable by Sublessor before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$ 13,837.50 </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color w:val="000000"/>
                <w:u w:val="single"/>
              </w:rPr>
              <w:t>        </w:t>
            </w:r>
            <w:r>
              <w:rPr>
                <w:rFonts w:ascii="Times New Roman;serif" w:hAnsi="Times New Roman;serif"/>
                <w:b w:val="false"/>
                <w:color w:val="000000"/>
                <w:sz w:val="20"/>
                <w:u w:val="single"/>
              </w:rPr>
              <w:t xml:space="preserve">845.62 </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Fixed Rent Payable by Sublessor including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$ 14,683.12</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Fixed Rent per Square Foot Payable by Sublessor including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$3.98</w:t>
            </w:r>
          </w:p>
        </w:tc>
      </w:tr>
      <w:tr>
        <w:trPr/>
        <w:tc>
          <w:tcPr>
            <w:tcW w:w="8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Sublessee’s % Share of Monthly Fixed Rent Payable by Sublessor including Rent Inclusion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Sublessee’s Monthly Base Rent Payable under Sublease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$ 8809.87</w:t>
            </w:r>
          </w:p>
        </w:tc>
      </w:tr>
      <w:tr>
        <w:trPr/>
        <w:tc>
          <w:tcPr>
            <w:tcW w:w="8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Sublessee’s Monthly Base Rent per Square Foot Payable under Sublease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$3.98</w:t>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Note: “Rent Inclusion Factor” is that part of the Fixed Rent payable by Sublessor under Lease Agreement allocable to the provision of electrical energy. In the original Lease Agreement and first three amendments thereto, the Fixed Rent was stated on a basis including the Rent Inclusion Factor. In the fourth and subsequent amendments to the Lease Agreement, the Fixed Rent is stated on a basis before the Rent Inclusion Factor, with the Rent Inclusion Factor identified separately. In the Original Sublease, the First Amendment, the Second Amendment and the Third Amendment, Sublessee’s Base Rent is based on a certain percentage of Sublessor’s Fixed Rent including the Rent Inclusion Factor. In the Fourth Amendment, the Fifth Amendment and this Sixth Amendment to Sublease Agreement, Sublessee’s share of the Fixed Rent is stated as a percentage of the Fixed Rent including the Rent Inclusion Factor, consistent with the Original Sublease and prior amendments.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260" w:after="283"/>
        <w:jc w:val="left"/>
        <w:rPr>
          <w:rFonts w:ascii="Times New Roman;serif" w:hAnsi="Times New Roman;serif"/>
          <w:b/>
          <w:color w:val="000000"/>
          <w:sz w:val="20"/>
        </w:rPr>
      </w:pPr>
      <w:r>
        <w:rPr>
          <w:rFonts w:ascii="Times New Roman;serif" w:hAnsi="Times New Roman;serif"/>
          <w:b/>
          <w:color w:val="000000"/>
          <w:sz w:val="20"/>
        </w:rPr>
        <w:t>SUBSIDIARIES OF THE REGISTRANT</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As of September 30, 2025 </w:t>
      </w:r>
    </w:p>
    <w:tbl>
      <w:tblPr>
        <w:tblW w:w="7300" w:type="dxa"/>
        <w:jc w:val="center"/>
        <w:tblInd w:w="0" w:type="dxa"/>
        <w:tblLayout w:type="fixed"/>
        <w:tblCellMar>
          <w:top w:w="28" w:type="dxa"/>
          <w:left w:w="28" w:type="dxa"/>
          <w:bottom w:w="28" w:type="dxa"/>
          <w:right w:w="28" w:type="dxa"/>
        </w:tblCellMar>
      </w:tblPr>
      <w:tblGrid>
        <w:gridCol w:w="1630"/>
        <w:gridCol w:w="1430"/>
        <w:gridCol w:w="1439"/>
        <w:gridCol w:w="109"/>
        <w:gridCol w:w="109"/>
        <w:gridCol w:w="109"/>
        <w:gridCol w:w="724"/>
        <w:gridCol w:w="724"/>
        <w:gridCol w:w="1026"/>
      </w:tblGrid>
      <w:tr>
        <w:trPr/>
        <w:tc>
          <w:tcPr>
            <w:tcW w:w="16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r>
      <w:tr>
        <w:trPr/>
        <w:tc>
          <w:tcPr>
            <w:tcW w:w="4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Aerial Lighting &amp; Electric,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Arrow Engine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Azimuth Communications,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Bayonet Plumbing, Heating &amp; Air Conditioning,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Calumet Armature and Electric,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Edmonson Electric,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 Point Dynamics,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Freeman Enclosure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Greiner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Hotchkiss Alarms,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Commercial,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Communications,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Consolidation,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Enclosure Solutions and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FL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Infrastructure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IES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IES LA RE,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Management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IES OK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Operations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PA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Residential,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SC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Shared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IES Subsidiary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Electrical Finance,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K.E.P. Electric,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Electrical Supply,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Magnetech Industrial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 Electric,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Wisconsin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Power and Control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Qypsys,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Industrial Sales and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Technibus,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Popp &amp;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Wedlake Fabricating,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Wisconsin Heavy Fabrication,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60"/>
        <w:jc w:val="center"/>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1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 on Form S-8 (No. 333-209483) pertaining to the Amended and Restated 2006 Equity Incentive Plan of IES Holdings, Inc.,</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(2)Registration Statement on Form S-8 (No. 333-285175) pertaining to the Amended and Restated 2006 Equity Incentive Plan (as of February 20, 2025) of IES Holdings, Inc.,</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(3)Registration Statement on Form S-8 (No. 333-134100) pertaining to the 2006 Equity Incentive Plan of IES Holdings, Inc.,</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(4)Registration Statement on Form S-3 (No. 333-186786) pertaining to the registration for resale of common stock of IES Holdings, Inc. by the selling stockholders named therein, and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(5)Registration Statement on Form S-3 (No. 333-215071) pertaining to the registration for resale of common stock of IES Holdings, Inc. by the selling stockholders named therein;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November 21, 2025,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2025.</w:t>
      </w:r>
    </w:p>
    <w:p>
      <w:pPr>
        <w:pStyle w:val="TextBody"/>
        <w:bidi w:val="0"/>
        <w:spacing w:before="0" w:after="160"/>
        <w:jc w:val="left"/>
        <w:rPr/>
      </w:pPr>
      <w:r>
        <w:rPr/>
      </w:r>
    </w:p>
    <w:p>
      <w:pPr>
        <w:pStyle w:val="TextBody"/>
        <w:bidi w:val="0"/>
        <w:spacing w:lineRule="auto" w:line="288" w:before="0" w:after="160"/>
        <w:ind w:left="0" w:right="0" w:firstLine="648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November 21,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Matthew J. Simmes,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Annual Report on Form 10-K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November 21, 2025</w:t>
      </w:r>
    </w:p>
    <w:p>
      <w:pPr>
        <w:pStyle w:val="TextBody"/>
        <w:bidi w:val="0"/>
        <w:spacing w:lineRule="auto" w:line="288" w:before="140" w:after="283"/>
        <w:jc w:val="left"/>
        <w:rPr>
          <w:color w:val="000000"/>
        </w:rPr>
      </w:pPr>
      <w:r>
        <w:rPr>
          <w:color w:val="000000"/>
        </w:rPr>
        <w:t> </w:t>
      </w:r>
    </w:p>
    <w:tbl>
      <w:tblPr>
        <w:tblW w:w="6012" w:type="dxa"/>
        <w:jc w:val="left"/>
        <w:tblInd w:w="0" w:type="dxa"/>
        <w:tblLayout w:type="fixed"/>
        <w:tblCellMar>
          <w:top w:w="28" w:type="dxa"/>
          <w:left w:w="28" w:type="dxa"/>
          <w:bottom w:w="28" w:type="dxa"/>
          <w:right w:w="28" w:type="dxa"/>
        </w:tblCellMar>
      </w:tblPr>
      <w:tblGrid>
        <w:gridCol w:w="124"/>
        <w:gridCol w:w="109"/>
        <w:gridCol w:w="109"/>
        <w:gridCol w:w="1658"/>
        <w:gridCol w:w="1658"/>
        <w:gridCol w:w="23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lineRule="auto" w:line="288" w:before="0" w:after="0"/>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Tracy A. McLauchlin,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Annual Report on Form 10-K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November 21, 2025</w:t>
      </w:r>
    </w:p>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p>
            <w:pPr>
              <w:pStyle w:val="TableContents"/>
              <w:bidi w:val="0"/>
              <w:spacing w:lineRule="auto" w:line="288" w:before="0" w:after="0"/>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Annual Report of IES Holdings, Inc. (the “Company”) on Form 10-K for the period ending September 30, 2025 (the “Report”), I, Matthew J. Simmes, Chief Executive Officer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8275" w:type="dxa"/>
        <w:jc w:val="left"/>
        <w:tblInd w:w="0" w:type="dxa"/>
        <w:tblLayout w:type="fixed"/>
        <w:tblCellMar>
          <w:top w:w="28" w:type="dxa"/>
          <w:left w:w="28" w:type="dxa"/>
          <w:bottom w:w="28" w:type="dxa"/>
          <w:right w:w="28" w:type="dxa"/>
        </w:tblCellMar>
      </w:tblPr>
      <w:tblGrid>
        <w:gridCol w:w="274"/>
        <w:gridCol w:w="241"/>
        <w:gridCol w:w="241"/>
        <w:gridCol w:w="241"/>
        <w:gridCol w:w="241"/>
        <w:gridCol w:w="241"/>
        <w:gridCol w:w="241"/>
        <w:gridCol w:w="241"/>
        <w:gridCol w:w="241"/>
        <w:gridCol w:w="134"/>
        <w:gridCol w:w="134"/>
        <w:gridCol w:w="136"/>
        <w:gridCol w:w="1660"/>
        <w:gridCol w:w="1660"/>
        <w:gridCol w:w="2349"/>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21,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22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22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before="0" w:after="0"/>
              <w:jc w:val="center"/>
              <w:rPr/>
            </w:pPr>
            <w:r>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6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Annual Report of IES Holdings, Inc. (the “Company”) on Form 10-K for the period ending September 30, 2025 (the “Report”), I, Tracy A. McLauchlin, Senior Vice President, Chief Financial Officer and Treasurer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7581" w:type="dxa"/>
        <w:jc w:val="left"/>
        <w:tblInd w:w="0" w:type="dxa"/>
        <w:tblLayout w:type="fixed"/>
        <w:tblCellMar>
          <w:top w:w="28" w:type="dxa"/>
          <w:left w:w="28" w:type="dxa"/>
          <w:bottom w:w="28" w:type="dxa"/>
          <w:right w:w="28" w:type="dxa"/>
        </w:tblCellMar>
      </w:tblPr>
      <w:tblGrid>
        <w:gridCol w:w="206"/>
        <w:gridCol w:w="181"/>
        <w:gridCol w:w="181"/>
        <w:gridCol w:w="181"/>
        <w:gridCol w:w="181"/>
        <w:gridCol w:w="181"/>
        <w:gridCol w:w="181"/>
        <w:gridCol w:w="181"/>
        <w:gridCol w:w="181"/>
        <w:gridCol w:w="181"/>
        <w:gridCol w:w="181"/>
        <w:gridCol w:w="181"/>
        <w:gridCol w:w="134"/>
        <w:gridCol w:w="134"/>
        <w:gridCol w:w="136"/>
        <w:gridCol w:w="774"/>
        <w:gridCol w:w="774"/>
        <w:gridCol w:w="774"/>
        <w:gridCol w:w="774"/>
        <w:gridCol w:w="774"/>
        <w:gridCol w:w="1110"/>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19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21,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219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219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tc>
      </w:tr>
      <w:tr>
        <w:trPr/>
        <w:tc>
          <w:tcPr>
            <w:tcW w:w="56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48268/000119312516674386/d211495dex31.htm" TargetMode="External"/><Relationship Id="rId5" Type="http://schemas.openxmlformats.org/officeDocument/2006/relationships/hyperlink" Target="https://www.sec.gov/Archives/edgar/data/1048268/000119312513026383/d474722dex31.htm" TargetMode="External"/><Relationship Id="rId6" Type="http://schemas.openxmlformats.org/officeDocument/2006/relationships/hyperlink" Target="https://www.sec.gov/Archives/edgar/data/1048268/000119312521171027/d87196dex31.htm" TargetMode="External"/><Relationship Id="rId7" Type="http://schemas.openxmlformats.org/officeDocument/2006/relationships/hyperlink" Target="https://www.sec.gov/Archives/edgar/data/0001048268/000104826821000065/amendedandrestatedbylawsof.htm" TargetMode="External"/><Relationship Id="rId8" Type="http://schemas.openxmlformats.org/officeDocument/2006/relationships/hyperlink" Target="https://www.sec.gov/Archives/edgar/data/1048268/000119312516789187/d310826dex41.htm" TargetMode="External"/><Relationship Id="rId9" Type="http://schemas.openxmlformats.org/officeDocument/2006/relationships/hyperlink" Target="https://www.sec.gov/Archives/edgar/data/1048268/000095012906005627/h36237exv10w5.htm" TargetMode="External"/><Relationship Id="rId10" Type="http://schemas.openxmlformats.org/officeDocument/2006/relationships/hyperlink" Target="https://www.sec.gov/Archives/edgar/data/1048268/000119312512503507/d452277dex1024.htm" TargetMode="External"/><Relationship Id="rId11" Type="http://schemas.openxmlformats.org/officeDocument/2006/relationships/hyperlink" Target="https://www.sec.gov/Archives/edgar/data/1048268/000104826823000097/q42023ex44.htm" TargetMode="External"/><Relationship Id="rId12" Type="http://schemas.openxmlformats.org/officeDocument/2006/relationships/hyperlink" Target="https://www.sec.gov/Archives/edgar/data/1048268/000095012310049149/h73084exv10w1.htm" TargetMode="External"/><Relationship Id="rId13" Type="http://schemas.openxmlformats.org/officeDocument/2006/relationships/hyperlink" Target="https://www.sec.gov/Archives/edgar/data/1048268/000104826812000030/ies_amd1indemnityagmt-2012.htm" TargetMode="External"/><Relationship Id="rId14" Type="http://schemas.openxmlformats.org/officeDocument/2006/relationships/hyperlink" Target="https://www.sec.gov/Archives/edgar/data/1048268/000119312516708628/d258745dex101.htm" TargetMode="External"/><Relationship Id="rId15" Type="http://schemas.openxmlformats.org/officeDocument/2006/relationships/hyperlink" Target="https://www.sec.gov/Archives/edgar/data/1048268/000119312517227986/d419769dex101.htm" TargetMode="External"/><Relationship Id="rId16" Type="http://schemas.openxmlformats.org/officeDocument/2006/relationships/hyperlink" Target="https://www.sec.gov/Archives/edgar/data/1048268/000119312520225684/d97671dex101.htm" TargetMode="External"/><Relationship Id="rId17" Type="http://schemas.openxmlformats.org/officeDocument/2006/relationships/hyperlink" Target="https://www.sec.gov/Archives/edgar/data/1048268/000104826822000048/thirdamendedandrestatedcre.htm" TargetMode="External"/><Relationship Id="rId18" Type="http://schemas.openxmlformats.org/officeDocument/2006/relationships/hyperlink" Target="https://www.sec.gov/Archives/edgar/data/1048268/000104826822000099/amendmentno1tothirdarcredi.htm" TargetMode="External"/><Relationship Id="rId19" Type="http://schemas.openxmlformats.org/officeDocument/2006/relationships/hyperlink" Target="https://www.sec.gov/Archives/edgar/data/1048268/000104826825000024/exhibit101.htm" TargetMode="External"/><Relationship Id="rId20" Type="http://schemas.openxmlformats.org/officeDocument/2006/relationships/hyperlink" Target="https://www.sec.gov/Archives/edgar/data/1048268/000119312512232008/d351050dex101.htm" TargetMode="External"/><Relationship Id="rId21" Type="http://schemas.openxmlformats.org/officeDocument/2006/relationships/hyperlink" Target="https://www.sec.gov/Archives/edgar/data/1048268/000119312516582843/d193200dex105.htm" TargetMode="External"/><Relationship Id="rId22" Type="http://schemas.openxmlformats.org/officeDocument/2006/relationships/hyperlink" Target="https://www.sec.gov/Archives/edgar/data/1048268/000104826824000134/ex1010iessublease-fifthame.htm" TargetMode="External"/><Relationship Id="rId23" Type="http://schemas.openxmlformats.org/officeDocument/2006/relationships/hyperlink" Target="https://www.sec.gov/Archives/edgar/data/1048268/000104826824000134/ex1010iessublease-fifthame.htm" TargetMode="External"/><Relationship Id="rId24" Type="http://schemas.openxmlformats.org/officeDocument/2006/relationships/hyperlink" Target="https://www.sec.gov/Archives/edgar/data/1048268/000104826824000134/ex1010iessublease-fifthame.htm" TargetMode="External"/><Relationship Id="rId25" Type="http://schemas.openxmlformats.org/officeDocument/2006/relationships/hyperlink" Target="https://www.sec.gov/Archives/edgar/data/1048268/000104826824000134/ex1010iessublease-fifthame.htm" TargetMode="External"/><Relationship Id="rId26" Type="http://schemas.openxmlformats.org/officeDocument/2006/relationships/hyperlink" Target="https://www.sec.gov/Archives/edgar/data/1048268/000104826824000134/ex1010iessublease-fifthame.htm" TargetMode="External"/><Relationship Id="rId27" Type="http://schemas.openxmlformats.org/officeDocument/2006/relationships/hyperlink" Target="https://www.sec.gov/Archives/edgar/data/1048268/000104826824000134/ex1010iessublease-fifthame.htm" TargetMode="External"/><Relationship Id="rId28" Type="http://schemas.openxmlformats.org/officeDocument/2006/relationships/hyperlink" Target="https://www.sec.gov/Archives/edgar/data/1048268/000104826824000134/ex1010iessublease-fifthame.htm" TargetMode="External"/><Relationship Id="rId29" Type="http://schemas.openxmlformats.org/officeDocument/2006/relationships/hyperlink" Target="https://www.sec.gov/Archives/edgar/data/1048268/000104826824000134/ex1010iessublease-fifthame.htm" TargetMode="External"/><Relationship Id="rId30" Type="http://schemas.openxmlformats.org/officeDocument/2006/relationships/hyperlink" Target="https://www.sec.gov/Archives/edgar/data/1048268/000104826824000134/ex1010iessublease-fifthame.htm" TargetMode="External"/><Relationship Id="rId31" Type="http://schemas.openxmlformats.org/officeDocument/2006/relationships/hyperlink" Target="https://www.sec.gov/Archives/edgar/data/1048268/000104826824000134/ex1010iessublease-fifthame.htm" TargetMode="External"/><Relationship Id="rId32" Type="http://schemas.openxmlformats.org/officeDocument/2006/relationships/hyperlink" Target="https://www.sec.gov/Archives/edgar/data/1048268/000104826824000134/ex1010iessublease-fifthame.htm" TargetMode="External"/><Relationship Id="rId33" Type="http://schemas.openxmlformats.org/officeDocument/2006/relationships/hyperlink" Target="https://www.sec.gov/Archives/edgar/data/1048268/000119312518344274/d668006dex1017.htm" TargetMode="External"/><Relationship Id="rId34" Type="http://schemas.openxmlformats.org/officeDocument/2006/relationships/hyperlink" Target="https://www.sec.gov/Archives/edgar/data/1048268/000104826807000040/d72828_ex10-3.htm" TargetMode="External"/><Relationship Id="rId35" Type="http://schemas.openxmlformats.org/officeDocument/2006/relationships/hyperlink" Target="https://www.sec.gov/Archives/edgar/data/1048268/000104826807000040/d72828_ex10-1.htm" TargetMode="External"/><Relationship Id="rId36" Type="http://schemas.openxmlformats.org/officeDocument/2006/relationships/hyperlink" Target="https://www.sec.gov/Archives/edgar/data/1048268/000119312516453210/d133572dex101.htm" TargetMode="External"/><Relationship Id="rId37" Type="http://schemas.openxmlformats.org/officeDocument/2006/relationships/hyperlink" Target="https://www.sec.gov/Archives/edgar/data/1048268/000119312515413732/d103218ddef14a.htm" TargetMode="External"/><Relationship Id="rId38" Type="http://schemas.openxmlformats.org/officeDocument/2006/relationships/hyperlink" Target="https://www.sec.gov/ix?doc=/Archives/edgar/data/1048268/000104826825000015/iesc-20250106.htm" TargetMode="External"/><Relationship Id="rId39" Type="http://schemas.openxmlformats.org/officeDocument/2006/relationships/hyperlink" Target="https://www.sec.gov/ix?doc=/Archives/edgar/data/1048268/000104826825000015/iesc-20250106.htm" TargetMode="External"/><Relationship Id="rId40" Type="http://schemas.openxmlformats.org/officeDocument/2006/relationships/hyperlink" Target="https://www.sec.gov/ix?doc=/Archives/edgar/data/1048268/000104826825000015/iesc-20250106.htm" TargetMode="External"/><Relationship Id="rId41" Type="http://schemas.openxmlformats.org/officeDocument/2006/relationships/hyperlink" Target="https://www.sec.gov/ix?doc=/Archives/edgar/data/1048268/000104826825000015/iesc-20250106.htm" TargetMode="External"/><Relationship Id="rId42" Type="http://schemas.openxmlformats.org/officeDocument/2006/relationships/hyperlink" Target="https://www.sec.gov/ix?doc=/Archives/edgar/data/1048268/000104826825000015/iesc-20250106.htm" TargetMode="External"/><Relationship Id="rId43" Type="http://schemas.openxmlformats.org/officeDocument/2006/relationships/hyperlink" Target="https://www.sec.gov/ix?doc=/Archives/edgar/data/1048268/000104826825000015/iesc-20250106.htm" TargetMode="External"/><Relationship Id="rId44" Type="http://schemas.openxmlformats.org/officeDocument/2006/relationships/hyperlink" Target="https://www.sec.gov/ix?doc=/Archives/edgar/data/1048268/000104826825000015/iesc-20250106.htm" TargetMode="External"/><Relationship Id="rId45" Type="http://schemas.openxmlformats.org/officeDocument/2006/relationships/hyperlink" Target="https://www.sec.gov/ix?doc=/Archives/edgar/data/1048268/000104826825000015/iesc-20250106.htm" TargetMode="External"/><Relationship Id="rId46" Type="http://schemas.openxmlformats.org/officeDocument/2006/relationships/hyperlink" Target="https://www.sec.gov/ix?doc=/Archives/edgar/data/1048268/000104826825000015/iesc-20250106.htm" TargetMode="External"/><Relationship Id="rId47" Type="http://schemas.openxmlformats.org/officeDocument/2006/relationships/hyperlink" Target="https://www.sec.gov/ix?doc=/Archives/edgar/data/1048268/000104826825000015/iesc-20250106.htm" TargetMode="External"/><Relationship Id="rId48" Type="http://schemas.openxmlformats.org/officeDocument/2006/relationships/hyperlink" Target="https://www.sec.gov/Archives/edgar/data/1048268/000119312516582843/d193200dex104.htm" TargetMode="External"/><Relationship Id="rId49" Type="http://schemas.openxmlformats.org/officeDocument/2006/relationships/hyperlink" Target="https://www.sec.gov/Archives/edgar/data/1048268/000119312516582843/d193200dex103.htm" TargetMode="External"/><Relationship Id="rId50" Type="http://schemas.openxmlformats.org/officeDocument/2006/relationships/hyperlink" Target="https://www.sec.gov/Archives/edgar/data/1048268/000119312516582843/d193200dex102.htm" TargetMode="External"/><Relationship Id="rId51" Type="http://schemas.openxmlformats.org/officeDocument/2006/relationships/hyperlink" Target="https://www.sec.gov/Archives/edgar/data/1048268/000104746908013171/a2188873zex-10_33.htm" TargetMode="External"/><Relationship Id="rId52" Type="http://schemas.openxmlformats.org/officeDocument/2006/relationships/hyperlink" Target="https://www.sec.gov/Archives/edgar/data/1048268/000104826809000014/ltipfy2009_2010.htm" TargetMode="External"/><Relationship Id="rId53" Type="http://schemas.openxmlformats.org/officeDocument/2006/relationships/hyperlink" Target="https://www.sec.gov/Archives/edgar/data/1048268/000104826821000065/amendedandrestatedseveranc.htm" TargetMode="External"/><Relationship Id="rId54" Type="http://schemas.openxmlformats.org/officeDocument/2006/relationships/hyperlink" Target="https://www.sec.gov/Archives/edgar/data/1048268/000119312519138305/d740684dex102.htm" TargetMode="External"/><Relationship Id="rId55" Type="http://schemas.openxmlformats.org/officeDocument/2006/relationships/hyperlink" Target="https://www.sec.gov/Archives/edgar/data/1048268/000119312519064120/d697792dex101.htm" TargetMode="External"/><Relationship Id="rId56" Type="http://schemas.openxmlformats.org/officeDocument/2006/relationships/hyperlink" Target="https://www.sec.gov/Archives/edgar/data/1048268/000119312519064120/d697792dex102.htm" TargetMode="External"/><Relationship Id="rId57" Type="http://schemas.openxmlformats.org/officeDocument/2006/relationships/hyperlink" Target="https://www.sec.gov/Archives/edgar/data/1048268/000104826820000005/q12020ex102.htm" TargetMode="External"/><Relationship Id="rId58" Type="http://schemas.openxmlformats.org/officeDocument/2006/relationships/hyperlink" Target="https://www.sec.gov/Archives/edgar/data/1048268/000104826820000005/q12020ex103.htm" TargetMode="External"/><Relationship Id="rId59" Type="http://schemas.openxmlformats.org/officeDocument/2006/relationships/hyperlink" Target="https://www.sec.gov/Archives/edgar/data/1048268/000119312519138305/d740684dex105.htm" TargetMode="External"/><Relationship Id="rId60" Type="http://schemas.openxmlformats.org/officeDocument/2006/relationships/hyperlink" Target="https://www.sec.gov/Archives/edgar/data/1048268/000119312519307837/d835677dex101.htm" TargetMode="External"/><Relationship Id="rId61" Type="http://schemas.openxmlformats.org/officeDocument/2006/relationships/hyperlink" Target="https://www.sec.gov/Archives/edgar/data/1048268/000119312520263380/d41776dex101.htm" TargetMode="External"/><Relationship Id="rId62" Type="http://schemas.openxmlformats.org/officeDocument/2006/relationships/hyperlink" Target="https://www.sec.gov/Archives/edgar/data/1048268/000104826821000163/psugrant-matthewsimmes.htm" TargetMode="External"/><Relationship Id="rId63" Type="http://schemas.openxmlformats.org/officeDocument/2006/relationships/hyperlink" Target="https://www.sec.gov/Archives/edgar/data/1048268/000104826821000163/psugrant-jeffreygendell.htm" TargetMode="External"/><Relationship Id="rId64" Type="http://schemas.openxmlformats.org/officeDocument/2006/relationships/hyperlink" Target="https://www.sec.gov/Archives/edgar/data/1048268/000104826823000098/q42023ex101.htm" TargetMode="External"/><Relationship Id="rId65" Type="http://schemas.openxmlformats.org/officeDocument/2006/relationships/hyperlink" Target="https://www.sec.gov/Archives/edgar/data/1048268/000104826824000135/ex101supplementarystipland.htm" TargetMode="External"/><Relationship Id="rId66" Type="http://schemas.openxmlformats.org/officeDocument/2006/relationships/hyperlink" Target="https://www.sec.gov/Archives/edgar/data/1048268/000104826824000135/ex101supplementarystipland.htm" TargetMode="External"/><Relationship Id="rId67" Type="http://schemas.openxmlformats.org/officeDocument/2006/relationships/hyperlink" Target="https://www.sec.gov/Archives/edgar/data/1048268/000104826824000134/ex191insidertradingpolicy.htm" TargetMode="External"/><Relationship Id="rId68" Type="http://schemas.openxmlformats.org/officeDocument/2006/relationships/hyperlink" Target="https://www.sec.gov/Archives/edgar/data/1048268/000104826824000134/ex191insidertradingpolicy.htm" TargetMode="External"/><Relationship Id="rId69" Type="http://schemas.openxmlformats.org/officeDocument/2006/relationships/hyperlink" Target="https://www.sec.gov/Archives/edgar/data/1048268/000104826824000134/ex191insidertradingpolicy.htm" TargetMode="External"/><Relationship Id="rId70" Type="http://schemas.openxmlformats.org/officeDocument/2006/relationships/hyperlink" Target="https://www.sec.gov/Archives/edgar/data/1048268/000104826824000134/ex971iesholdingsrecoupment.htm"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49589</Words>
  <Characters>277464</Characters>
  <CharactersWithSpaces>324837</CharactersWithSpaces>
  <Paragraphs>4202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