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hanging="43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429260</wp:posOffset>
            </wp:positionV>
            <wp:extent cx="145796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96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IES Holdings,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76-0542208</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5433 Westheimer Road, Suite 500, Houston, Texas 77056</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Registrant’s telephone number, including area code: (713) 860-1500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200"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240" w:top="230"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134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50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0"/>
          <w:szCs w:val="20"/>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On August 1, 2018, there were 21,205,536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3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26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60" w:type="dxa"/>
            <w:vAlign w:val="bottom"/>
            <w:gridSpan w:val="22"/>
            <w:vMerge w:val="continue"/>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60" w:type="dxa"/>
            <w:vAlign w:val="bottom"/>
            <w:tcBorders>
              <w:top w:val="single" w:sz="8" w:color="0000EE"/>
            </w:tcBorders>
          </w:tcPr>
          <w:p>
            <w:pPr>
              <w:spacing w:after="0"/>
              <w:rPr>
                <w:sz w:val="24"/>
                <w:szCs w:val="24"/>
                <w:color w:val="auto"/>
              </w:rPr>
            </w:pPr>
          </w:p>
        </w:tc>
        <w:tc>
          <w:tcPr>
            <w:tcW w:w="2520" w:type="dxa"/>
            <w:vAlign w:val="bottom"/>
            <w:tcBorders>
              <w:top w:val="single" w:sz="8" w:color="0000EE"/>
            </w:tcBorders>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 Financial Statements</w:t>
              </w:r>
            </w:hyperlink>
          </w:p>
        </w:tc>
        <w:tc>
          <w:tcPr>
            <w:tcW w:w="738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Sheets as of June 30, 2018 and September 30, 2017</w:t>
              </w:r>
            </w:hyperlink>
          </w:p>
        </w:tc>
        <w:tc>
          <w:tcPr>
            <w:tcW w:w="3320" w:type="dxa"/>
            <w:vAlign w:val="bottom"/>
            <w:gridSpan w:val="4"/>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Comprehensive Income for the Three and Nine Months Ended June 30, 2018 and 2017</w:t>
              </w:r>
            </w:hyperlink>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Nine Months Ended June 30, 2018 and 2017</w:t>
              </w:r>
            </w:hyperlink>
          </w:p>
        </w:tc>
        <w:tc>
          <w:tcPr>
            <w:tcW w:w="2040" w:type="dxa"/>
            <w:vAlign w:val="bottom"/>
            <w:gridSpan w:val="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840" w:type="dxa"/>
            <w:vAlign w:val="bottom"/>
            <w:gridSpan w:val="3"/>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PART II. OTHER INFORMATION</w:t>
              </w:r>
            </w:hyperlink>
          </w:p>
        </w:tc>
        <w:tc>
          <w:tcPr>
            <w:tcW w:w="768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8000" w:type="dxa"/>
            <w:vAlign w:val="bottom"/>
            <w:gridSpan w:val="13"/>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Item 1A. Risk Factors</w:t>
              </w:r>
            </w:hyperlink>
          </w:p>
        </w:tc>
        <w:tc>
          <w:tcPr>
            <w:tcW w:w="8300" w:type="dxa"/>
            <w:vAlign w:val="bottom"/>
            <w:gridSpan w:val="15"/>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Unregistered Sales of Equity Securities and Use of Proceeds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436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5000" w:type="dxa"/>
            <w:vAlign w:val="bottom"/>
            <w:gridSpan w:val="6"/>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234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020" w:type="dxa"/>
            <w:vAlign w:val="bottom"/>
            <w:gridSpan w:val="8"/>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580" w:type="dxa"/>
            <w:vAlign w:val="bottom"/>
            <w:gridSpan w:val="10"/>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62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8740" w:type="dxa"/>
            <w:vAlign w:val="bottom"/>
            <w:gridSpan w:val="16"/>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this Quarterly Report on Form 10-Q, the words “IES”, the “Company”, the “Registrant”, “we”, “our”, “ours” and “us” refer to IES Holdings,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except as otherwise specified herein, to our subsidiaries.</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95" w:lineRule="exact"/>
        <w:rPr>
          <w:sz w:val="20"/>
          <w:szCs w:val="20"/>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controlling shareholder to take action not aligned with other shareholders;</w:t>
      </w:r>
    </w:p>
    <w:p>
      <w:pPr>
        <w:spacing w:after="0" w:line="130" w:lineRule="exact"/>
        <w:rPr>
          <w:rFonts w:ascii="Arial" w:cs="Arial" w:eastAsia="Arial" w:hAnsi="Arial"/>
          <w:sz w:val="18"/>
          <w:szCs w:val="18"/>
          <w:color w:val="auto"/>
        </w:rPr>
      </w:pPr>
    </w:p>
    <w:p>
      <w:pPr>
        <w:ind w:left="640" w:hanging="328"/>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or disposition of the shares of our common stock held by our controlling shareholder, which, under certain circumstances, would trigger change of control provisions in our severance plan or financing and surety arrangements, or any other substantial sale of our common stock, which could depress our stock price;</w:t>
      </w:r>
    </w:p>
    <w:p>
      <w:pPr>
        <w:spacing w:after="0" w:line="86" w:lineRule="exact"/>
        <w:rPr>
          <w:rFonts w:ascii="Arial" w:cs="Arial" w:eastAsia="Arial" w:hAnsi="Arial"/>
          <w:sz w:val="18"/>
          <w:szCs w:val="18"/>
          <w:color w:val="auto"/>
        </w:rPr>
      </w:pPr>
    </w:p>
    <w:p>
      <w:pPr>
        <w:ind w:left="640" w:right="8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certain tax benefits of our net operating losses may be restricted or reduced in a change in ownership or a further change in the federal tax rate;</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recognition of valuation allowances or further write-downs on deferred tax assets;</w:t>
      </w:r>
    </w:p>
    <w:p>
      <w:pPr>
        <w:spacing w:after="0" w:line="130" w:lineRule="exact"/>
        <w:rPr>
          <w:rFonts w:ascii="Arial" w:cs="Arial" w:eastAsia="Arial" w:hAnsi="Arial"/>
          <w:sz w:val="18"/>
          <w:szCs w:val="18"/>
          <w:color w:val="auto"/>
        </w:rPr>
      </w:pPr>
    </w:p>
    <w:p>
      <w:pPr>
        <w:ind w:left="640" w:right="26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carry out plans and strategies as expected, including our inability to identify and complete acquisitions that meet our investment criteria in furtherance of our corporate strategy, or the subsequent underperformance of those acquisitions;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and debt service;</w:t>
      </w:r>
    </w:p>
    <w:p>
      <w:pPr>
        <w:spacing w:after="0" w:line="142" w:lineRule="exact"/>
        <w:rPr>
          <w:rFonts w:ascii="Arial" w:cs="Arial" w:eastAsia="Arial" w:hAnsi="Arial"/>
          <w:sz w:val="17"/>
          <w:szCs w:val="17"/>
          <w:color w:val="auto"/>
        </w:rPr>
      </w:pPr>
    </w:p>
    <w:p>
      <w:pPr>
        <w:ind w:left="640" w:right="34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fulfilling the covenant terms of our revolving credit facility, including liquidity, EBITDA and other financial requirements, which could result in a default and acceleration of our indebtedness under our revolving credit facility;</w:t>
      </w:r>
    </w:p>
    <w:p>
      <w:pPr>
        <w:spacing w:after="0" w:line="75" w:lineRule="exact"/>
        <w:rPr>
          <w:rFonts w:ascii="Arial" w:cs="Arial" w:eastAsia="Arial" w:hAnsi="Arial"/>
          <w:sz w:val="18"/>
          <w:szCs w:val="18"/>
          <w:color w:val="auto"/>
        </w:rPr>
      </w:pPr>
    </w:p>
    <w:p>
      <w:pPr>
        <w:ind w:left="640" w:right="50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issue additional shares of common stock or convertible securities that will dilute the percentage ownership interest of existing stockholders and may dilute the book value per share of our common stock;</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relatively low trading volume of our common stock, which could depress our stock price;</w:t>
      </w:r>
    </w:p>
    <w:p>
      <w:pPr>
        <w:spacing w:after="0" w:line="130" w:lineRule="exact"/>
        <w:rPr>
          <w:rFonts w:ascii="Arial" w:cs="Arial" w:eastAsia="Arial" w:hAnsi="Arial"/>
          <w:sz w:val="18"/>
          <w:szCs w:val="18"/>
          <w:color w:val="auto"/>
        </w:rPr>
      </w:pPr>
    </w:p>
    <w:p>
      <w:pPr>
        <w:ind w:left="640" w:right="340" w:hanging="328"/>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industries in which we operate, both from third parties and former employees, which could result in the loss of one or more customers or lead to lower margins on new projects;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capital expenditures and refurbishment, repair and upgrade costs; and delays in and costs of refurbishment, repair and upgrade projects;</w:t>
      </w:r>
    </w:p>
    <w:p>
      <w:pPr>
        <w:spacing w:after="0" w:line="153" w:lineRule="exact"/>
        <w:rPr>
          <w:rFonts w:ascii="Arial" w:cs="Arial" w:eastAsia="Arial" w:hAnsi="Arial"/>
          <w:sz w:val="16"/>
          <w:szCs w:val="16"/>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general reduction in the demand for our services;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the terms of, future contracts;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transferring, renewing and obtaining electrical and other licenses;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integrating new businesses into the Company or new types of work, products or processes into our segments;</w:t>
      </w:r>
    </w:p>
    <w:p>
      <w:pPr>
        <w:spacing w:after="0" w:line="130" w:lineRule="exact"/>
        <w:rPr>
          <w:rFonts w:ascii="Arial" w:cs="Arial" w:eastAsia="Arial" w:hAnsi="Arial"/>
          <w:sz w:val="18"/>
          <w:szCs w:val="18"/>
          <w:color w:val="auto"/>
        </w:rPr>
      </w:pPr>
    </w:p>
    <w:p>
      <w:pPr>
        <w:ind w:left="640" w:right="520" w:hanging="328"/>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credit and capital market conditions, including changes in interest rates that affect the cost of construction financing and mortgages, and the inability for some of our customers to retain sufficient financing, which could lead to project delays or cancellations;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that may not be realized or may not result in profits;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errors when estimating revenue and progress to date on percentage-of-completion contracts;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inherent in estimating future operating results, including revenues, operating income or cash flow;</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complications associated with the incorporation of new accounting, control and operating procedures;</w:t>
      </w:r>
    </w:p>
    <w:p>
      <w:pPr>
        <w:spacing w:after="0" w:line="130" w:lineRule="exact"/>
        <w:rPr>
          <w:rFonts w:ascii="Arial" w:cs="Arial" w:eastAsia="Arial" w:hAnsi="Arial"/>
          <w:sz w:val="18"/>
          <w:szCs w:val="18"/>
          <w:color w:val="auto"/>
        </w:rPr>
      </w:pPr>
    </w:p>
    <w:p>
      <w:pPr>
        <w:ind w:left="640" w:right="64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closures or sales of facilities resulting in significant future charges, including potential warranty losses or other unexpected liabilities, or a significant disruption of our operations;</w:t>
      </w:r>
    </w:p>
    <w:p>
      <w:pPr>
        <w:spacing w:after="0" w:line="75" w:lineRule="exact"/>
        <w:rPr>
          <w:rFonts w:ascii="Arial" w:cs="Arial" w:eastAsia="Arial" w:hAnsi="Arial"/>
          <w:sz w:val="18"/>
          <w:szCs w:val="18"/>
          <w:color w:val="auto"/>
        </w:rPr>
      </w:pPr>
    </w:p>
    <w:p>
      <w:pPr>
        <w:ind w:left="640" w:right="42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increased cost of surety bonds affecting margins on work and the potential for our surety providers to refuse bonding or require additional collateral at their discretion;</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operating activity due to downturns in levels of construction, seasonality and differing regional economic conditions;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projects;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used when entering into fixed-priced contracts;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availability of qualified labor and the ability to maintain positive labor relations;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pass along increases in the cost of commodities used in our business, in particular, copper, aluminum, steel, fuel and certain plastics;</w:t>
      </w:r>
    </w:p>
    <w:p>
      <w:pPr>
        <w:spacing w:after="0" w:line="153" w:lineRule="exact"/>
        <w:rPr>
          <w:rFonts w:ascii="Arial" w:cs="Arial" w:eastAsia="Arial" w:hAnsi="Arial"/>
          <w:sz w:val="16"/>
          <w:szCs w:val="16"/>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the mix of our customers, contracts or business;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bad debt expense and days sales outstanding due to liquidity problems faced by our customers;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potential goodwill, long-lived assets and other investment impairments;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supply chain disruptions due to credit or liquidity problems faced by our suppliers;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accidents resulting from the physical hazards associated with our work and the potential for accidents;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a policy at acceptable rates;</w:t>
      </w:r>
    </w:p>
    <w:p>
      <w:pPr>
        <w:spacing w:after="0" w:line="142" w:lineRule="exact"/>
        <w:rPr>
          <w:rFonts w:ascii="Arial" w:cs="Arial" w:eastAsia="Arial" w:hAnsi="Arial"/>
          <w:sz w:val="17"/>
          <w:szCs w:val="17"/>
          <w:color w:val="auto"/>
        </w:rPr>
      </w:pPr>
    </w:p>
    <w:p>
      <w:pPr>
        <w:ind w:left="64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internal controls over financial reporting and our disclosure controls and procedures may not prevent all possible errors that could occur;</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disagreements with taxing authorities with regard to tax positions we have adopted;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tax benefits related to uncertain tax positions;</w:t>
      </w:r>
    </w:p>
    <w:p>
      <w:pPr>
        <w:spacing w:after="0" w:line="130" w:lineRule="exact"/>
        <w:rPr>
          <w:rFonts w:ascii="Arial" w:cs="Arial" w:eastAsia="Arial" w:hAnsi="Arial"/>
          <w:sz w:val="18"/>
          <w:szCs w:val="18"/>
          <w:color w:val="auto"/>
        </w:rPr>
      </w:pPr>
    </w:p>
    <w:p>
      <w:pPr>
        <w:ind w:left="640" w:right="600" w:hanging="32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litigation, claims and contingencies, including warranty losses, damages or other latent defect claims in excess of our existing reserves and accruals;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growth in latent defect litigation in states where we provide residential electrical work for home builders not otherwise covered by insurance;</w:t>
      </w:r>
    </w:p>
    <w:p>
      <w:pPr>
        <w:spacing w:after="0" w:line="142" w:lineRule="exact"/>
        <w:rPr>
          <w:rFonts w:ascii="Arial" w:cs="Arial" w:eastAsia="Arial" w:hAnsi="Arial"/>
          <w:sz w:val="17"/>
          <w:szCs w:val="17"/>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interruptions to our information systems and cyber security or data breaches;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under laws and regulations protecting the environment;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key personnel and effective transition of new management.</w:t>
      </w:r>
    </w:p>
    <w:p>
      <w:pPr>
        <w:spacing w:after="0" w:line="225"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You should understand that the foregoing, as well as other risk factors discussed in this document and in Part I, Item 1A of our Annual Report on Form 10-K for the fiscal year ended September 30, 2017,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78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Financial Statements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4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IES HOLDINGS, INC. AND SUBSIDIARIES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40" w:type="dxa"/>
            <w:vAlign w:val="bottom"/>
          </w:tcPr>
          <w:p>
            <w:pPr>
              <w:jc w:val="center"/>
              <w:ind w:left="20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40" w:type="dxa"/>
            <w:vAlign w:val="bottom"/>
          </w:tcPr>
          <w:p>
            <w:pPr>
              <w:jc w:val="center"/>
              <w:ind w:left="2030"/>
              <w:spacing w:after="0"/>
              <w:rPr>
                <w:sz w:val="20"/>
                <w:szCs w:val="20"/>
                <w:color w:val="auto"/>
              </w:rPr>
            </w:pPr>
            <w:r>
              <w:rPr>
                <w:rFonts w:ascii="Arial" w:cs="Arial" w:eastAsia="Arial" w:hAnsi="Arial"/>
                <w:sz w:val="18"/>
                <w:szCs w:val="18"/>
                <w:b w:val="1"/>
                <w:bCs w:val="1"/>
                <w:color w:val="auto"/>
                <w:w w:val="91"/>
              </w:rPr>
              <w:t>(In Thousands, Except Share Information)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w w:val="85"/>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color w:val="auto"/>
                <w:w w:val="92"/>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40" w:type="dxa"/>
            <w:vAlign w:val="bottom"/>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94"/>
              </w:rPr>
              <w:t>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net of allowance of $738 and $650, respectively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139,182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142,946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Arial" w:cs="Arial" w:eastAsia="Arial" w:hAnsi="Arial"/>
                <w:sz w:val="18"/>
                <w:szCs w:val="18"/>
                <w:color w:val="auto"/>
              </w:rPr>
              <w:t>Retainage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Costs and estimated earnings in excess of billings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120" w:type="dxa"/>
            <w:vAlign w:val="bottom"/>
            <w:shd w:val="clear" w:color="auto" w:fill="CCEEFF"/>
          </w:tcPr>
          <w:p>
            <w:pPr>
              <w:spacing w:after="0"/>
              <w:rPr>
                <w:sz w:val="18"/>
                <w:szCs w:val="18"/>
                <w:color w:val="auto"/>
              </w:rPr>
            </w:pP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234,029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231,752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86,211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20" w:type="dxa"/>
            <w:vAlign w:val="bottom"/>
            <w:shd w:val="clear" w:color="auto" w:fill="CCEEFF"/>
          </w:tcPr>
          <w:p>
            <w:pPr>
              <w:spacing w:after="0"/>
              <w:rPr>
                <w:sz w:val="18"/>
                <w:szCs w:val="18"/>
                <w:color w:val="auto"/>
              </w:rPr>
            </w:pPr>
          </w:p>
        </w:tc>
      </w:tr>
      <w:tr>
        <w:trPr>
          <w:trHeight w:val="223"/>
        </w:trPr>
        <w:tc>
          <w:tcPr>
            <w:tcW w:w="83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395,963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424,494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40" w:type="dxa"/>
            <w:vAlign w:val="bottom"/>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120,710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Billings in excess of costs and estimated earnings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143,197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150,628</w:t>
            </w:r>
          </w:p>
        </w:tc>
        <w:tc>
          <w:tcPr>
            <w:tcW w:w="120" w:type="dxa"/>
            <w:vAlign w:val="bottom"/>
            <w:shd w:val="clear" w:color="auto" w:fill="CCEEFF"/>
          </w:tcPr>
          <w:p>
            <w:pPr>
              <w:spacing w:after="0"/>
              <w:rPr>
                <w:sz w:val="18"/>
                <w:szCs w:val="18"/>
                <w:color w:val="auto"/>
              </w:rPr>
            </w:pPr>
          </w:p>
        </w:tc>
      </w:tr>
      <w:tr>
        <w:trPr>
          <w:trHeight w:val="223"/>
        </w:trPr>
        <w:tc>
          <w:tcPr>
            <w:tcW w:w="83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29,434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CEEFF"/>
          </w:tcPr>
          <w:p>
            <w:pPr>
              <w:spacing w:after="0"/>
              <w:rPr>
                <w:sz w:val="18"/>
                <w:szCs w:val="18"/>
                <w:color w:val="auto"/>
              </w:rPr>
            </w:pP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177,243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184,519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3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Common stock, $0.01 par value, 100,000,000 shares authorized; 22,049,529 issued and 21,205,536 and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21,336,975 outstanding, respectively</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cost, 843,993 and 712,554 shares, respectively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(6,898)</w:t>
            </w:r>
          </w:p>
        </w:tc>
      </w:tr>
      <w:tr>
        <w:trPr>
          <w:trHeight w:val="216"/>
        </w:trPr>
        <w:tc>
          <w:tcPr>
            <w:tcW w:w="20" w:type="dxa"/>
            <w:vAlign w:val="bottom"/>
          </w:tcPr>
          <w:p>
            <w:pPr>
              <w:spacing w:after="0"/>
              <w:rPr>
                <w:sz w:val="18"/>
                <w:szCs w:val="18"/>
                <w:color w:val="auto"/>
              </w:rPr>
            </w:pPr>
          </w:p>
        </w:tc>
        <w:tc>
          <w:tcPr>
            <w:tcW w:w="83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196,551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196,955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120" w:type="dxa"/>
            <w:vAlign w:val="bottom"/>
            <w:shd w:val="clear" w:color="auto" w:fill="CCEEFF"/>
          </w:tcPr>
          <w:p>
            <w:pPr>
              <w:spacing w:after="0"/>
              <w:rPr>
                <w:sz w:val="18"/>
                <w:szCs w:val="18"/>
                <w:color w:val="auto"/>
              </w:rPr>
            </w:pP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215,473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236,704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395,963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424,494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420"/>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services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income, net</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IES Holdings, Inc.:</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earnings per share: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Basic</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21,200,635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21,300,716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21,331,883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21,556,118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440"/>
              <w:spacing w:after="0"/>
              <w:rPr>
                <w:sz w:val="20"/>
                <w:szCs w:val="20"/>
                <w:color w:val="auto"/>
              </w:rPr>
            </w:pPr>
            <w:r>
              <w:rPr>
                <w:rFonts w:ascii="Arial" w:cs="Arial" w:eastAsia="Arial" w:hAnsi="Arial"/>
                <w:sz w:val="14"/>
                <w:szCs w:val="14"/>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Cost of services</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income, net</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2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IES Holdings, Inc.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earnings per share: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21,193,306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21,295,254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21,193,306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21,550,804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gridSpan w:val="7"/>
          </w:tcPr>
          <w:p>
            <w:pPr>
              <w:jc w:val="right"/>
              <w:ind w:right="220"/>
              <w:spacing w:after="0"/>
              <w:rPr>
                <w:sz w:val="20"/>
                <w:szCs w:val="20"/>
                <w:color w:val="auto"/>
              </w:rPr>
            </w:pPr>
            <w:r>
              <w:rPr>
                <w:rFonts w:ascii="Arial" w:cs="Arial" w:eastAsia="Arial" w:hAnsi="Arial"/>
                <w:sz w:val="14"/>
                <w:szCs w:val="14"/>
                <w:color w:val="auto"/>
                <w:w w:val="95"/>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(18,577)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Bad debt expense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financing cost amortization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sale of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compensation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Costs and estimated earnings in excess of billings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(6,862)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costs and estimated earnings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Other non-current liabilities</w:t>
            </w:r>
          </w:p>
        </w:tc>
        <w:tc>
          <w:tcPr>
            <w:tcW w:w="1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acquisitions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(14,659)</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(18,218)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Borrowings of debt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debt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Contingent consideration payment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Options exercised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paid for interest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700"/>
              <w:spacing w:after="0"/>
              <w:rPr>
                <w:sz w:val="20"/>
                <w:szCs w:val="20"/>
                <w:color w:val="auto"/>
              </w:rPr>
            </w:pPr>
            <w:r>
              <w:rPr>
                <w:rFonts w:ascii="Arial" w:cs="Arial" w:eastAsia="Arial" w:hAnsi="Arial"/>
                <w:sz w:val="18"/>
                <w:szCs w:val="18"/>
                <w:color w:val="auto"/>
              </w:rPr>
              <w:t>Cash paid for income taxes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2,313</w:t>
            </w:r>
          </w:p>
        </w:tc>
        <w:tc>
          <w:tcPr>
            <w:tcW w:w="18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 AND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Description of the Business</w:t>
      </w:r>
    </w:p>
    <w:p>
      <w:pPr>
        <w:spacing w:after="0" w:line="117"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color w:val="auto"/>
        </w:rPr>
        <w:t>IES Holdings, Inc. is a holding company that owns and manages operating subsidiaries in business activities across a variety of end markets. Our operations are currently organized into four principal business segments, based upon the nature of our current services:</w:t>
      </w:r>
    </w:p>
    <w:p>
      <w:pPr>
        <w:spacing w:after="0" w:line="52" w:lineRule="exact"/>
        <w:rPr>
          <w:sz w:val="20"/>
          <w:szCs w:val="20"/>
          <w:color w:val="auto"/>
        </w:rPr>
      </w:pPr>
    </w:p>
    <w:p>
      <w:pPr>
        <w:ind w:left="1060" w:right="400" w:hanging="316"/>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w:t>
      </w:r>
    </w:p>
    <w:p>
      <w:pPr>
        <w:spacing w:after="0" w:line="29" w:lineRule="exact"/>
        <w:rPr>
          <w:rFonts w:ascii="Arial" w:cs="Arial" w:eastAsia="Arial" w:hAnsi="Arial"/>
          <w:sz w:val="16"/>
          <w:szCs w:val="16"/>
          <w:color w:val="auto"/>
        </w:rPr>
      </w:pPr>
    </w:p>
    <w:p>
      <w:pPr>
        <w:ind w:left="1060" w:right="84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xml:space="preserve"> – Nationwide provider of technology infrastructure products and services to large corporations and independent businesses.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Infrastructure Solutions</w:t>
      </w:r>
      <w:r>
        <w:rPr>
          <w:rFonts w:ascii="Arial" w:cs="Arial" w:eastAsia="Arial" w:hAnsi="Arial"/>
          <w:sz w:val="18"/>
          <w:szCs w:val="18"/>
          <w:color w:val="auto"/>
        </w:rPr>
        <w:t xml:space="preserve"> – Provider of electro-mechanical solutions for industrial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w:t>
      </w:r>
    </w:p>
    <w:p>
      <w:pPr>
        <w:spacing w:after="0" w:line="23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words “IES”, the “Company”, “we”, “our”, and “us” refer to IES Holdings, Inc. and, except as otherwise specified herein, to our wholly-owned subsidiaries.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Seasonality and Quarterly Fluctuations</w:t>
      </w:r>
    </w:p>
    <w:p>
      <w:pPr>
        <w:spacing w:after="0" w:line="117"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Results of operations from our Residential construction segment are seasonal, depending on weather trends, with typically higher revenues generated during spring and summer and lower revenues generated during fall and winter, with an impact from precipitation in the warmer months.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of Financial Statement Preparation</w:t>
      </w:r>
    </w:p>
    <w:p>
      <w:pPr>
        <w:spacing w:after="0" w:line="11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its wholly-owned subsidiaries, and entities that we control due to ownership of a majority of voting interest and have been prepared in accordance with the instructions to interim financial reporting as prescribed by the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2017.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In connection with our acquisitions of STR Mechanical, LLC (“STR Mechanical”) in fiscal 2016 and NEXT Electric, LLC (“NEXT Electric”)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 multiple of earnings as defined in the operating agreements. Therefore, this noncontrolling interest is carried at the greater of the balance determined under ASC 810 and the redemption amounts assuming the noncontrolling interests were redeemable at the balance sheet date. If all of these interests had been redeemable at June 30, 2018, the redemption amount would have been $2,995. See Note 13, “Business Combinations” for further discussion. For the nine months ended June 30, 2018, we recorded an increase to retained earnings of $44 to decrease the carrying amount of the noncontrolling interest in STR to the balance determined under ASC 810, as if it had been redeemable at June 30, 2018, as the redemption amount would have been less than the carrying amount.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In December 2017, the Tax Cuts and Jobs Act (the “Act”) was enacted, which, among other changes, reduced the federal statutory corporate tax rate from 35% to 21%, effective January 1, 2018. As a result of this change, the Company’s statutory tax rate for fiscal 2018 will be a blended rate of 24.53% and will decrease to 21% thereafter. For the nine months ended June 30, 2018, our effective tax rate differed from the statutory tax rate as a result of a preliminary charge of $31,506 to re-measure our deferred tax assets and liabilities to reflect the estimated impact of the new statutory tax rate, slightly offset by a benefit of $1,840 related to the reversal of an uncertain tax position. This benefit differs from the expected recognition of $3,284 as disclosed in our Form 10-K for the year ended September 30, 2017 as a result of the decrease in the statutory tax rate. The preliminary charge to re-measure our deferred tax assets is subject to completion of our analysis of the impact of the Act, including as it relates to future deductions for executive compensation expense, as well as the effect of changes in the utilization of net deferred tax assets that reverse in fiscal 2018 as compared to subsequent years.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a comprehensive new revenue recognition standard which will supersede previous existing revenue recognition guidance. The standard creates a five-step model for revenue recognition that requires companies to exercise judgment when considering contract terms and relevant facts and circumstances. The standard also requires expanded disclosures surrounding revenue recognition. The effective date will be the first quarter of our fiscal year ended September 30, 2019. The standard allows for either full retrospective or modified retrospective adoption, and we plan to use the modified retrospective basis on the adoption date. We are continuing to evaluate the impact of the adoption of this standard on our Condensed Consolidated Financial Statements. In particular, we believe the most significant areas where we expect some impact to our current accounting will be contract termination provisions, identification of performance obligations, and accounting for commissions paid. We expect that we will continue to recognize revenues for most of our fixed-price contracts over time, as services are performed, although we have identified a limited number of arrangements where we currently recognize revenue over time, but will no longer do so under the new standard. The impact of this standard on our Consolidated Financial Statements will be determined by the specific terms of contracts in progress at the adoption date and our progress on those projects. We are also continuing to assess the necessary changes in processes and controls to meet the disclosure requirements of the new standard.</w:t>
      </w:r>
    </w:p>
    <w:p>
      <w:pPr>
        <w:spacing w:after="0" w:line="169"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In January 2016, the FASB issued ASU No. 2016-01, Financial Instruments (“ASU 2016-01”). This standard is associated with the recognition and measurement of financial assets and liabilities with further clarifications made in February 2018 with the issuance of ASU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This update is effective for annual financial reporting periods, and interim periods within those annual periods, beginning after December 15, 2017, although early adoption is permitted.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In February 2016, the FASB issued ASU No. 2016-02, Leases (“ASU 2016-02”). Under ASU 2016-02, lessees will need to recognize a right-of-use asset and a lease liability for all of their leases, other than those that meet the definition of a short-term lease. For income statement purposes, leases must be classified as either operating or finance. Operating leases will result in straight-line expense, similar to current operating leases, while finance leases will result in a front-loaded pattern, similar to current capital leases. ASU 2016-02 becomes effective for the fiscal year ended September 30, 2020. We are currently evaluating the impact it will have on our Condensed Consolidated Financial Statements.</w:t>
      </w:r>
    </w:p>
    <w:p>
      <w:pPr>
        <w:spacing w:after="0" w:line="158" w:lineRule="exact"/>
        <w:rPr>
          <w:sz w:val="20"/>
          <w:szCs w:val="20"/>
          <w:color w:val="auto"/>
        </w:rPr>
      </w:pPr>
    </w:p>
    <w:p>
      <w:pPr>
        <w:jc w:val="both"/>
        <w:ind w:left="200" w:right="200"/>
        <w:spacing w:after="0" w:line="259" w:lineRule="auto"/>
        <w:rPr>
          <w:sz w:val="20"/>
          <w:szCs w:val="20"/>
          <w:color w:val="auto"/>
        </w:rPr>
      </w:pPr>
      <w:r>
        <w:rPr>
          <w:rFonts w:ascii="Arial" w:cs="Arial" w:eastAsia="Arial" w:hAnsi="Arial"/>
          <w:sz w:val="18"/>
          <w:szCs w:val="18"/>
          <w:color w:val="auto"/>
        </w:rPr>
        <w:t>In January 2017, the FASB issued ASU No. 2017-01, Business Combinations (“ASU 2017-01”). This standard clarifies the definition of a business to assist entities with evaluation of whether transactions should be accounted for as acquisitions or disposals of assets or businesses. The new standard is effective for interim and annual reporting periods beginning after December 15, 2017. The prospective transition method will be required for this new guidance.</w:t>
      </w:r>
    </w:p>
    <w:p>
      <w:pPr>
        <w:spacing w:after="0" w:line="187"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In May 2017, the FASB issued ASU No. 2017-09, Compensation—Stock Compensation (“ASU 2017-09”), to reduce the diversity in practice and the cost and complexity when changing the terms or conditions of a share-based payment award. This update is effective for annual financial reporting periods, and interim periods within those annual periods, beginning after December 15, 2017, although early adoption is permitted. The prospective transition method will be required for this new guidance.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do not expect ASU 2016-01, ASU 2017-01 or ASU 2017-09 to have a material effect on our Condensed Consolidated Financial Statements.</w:t>
      </w:r>
    </w:p>
    <w:p>
      <w:pPr>
        <w:spacing w:after="0" w:line="23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In June 2018, the FASB issued ASU No. 2018-07, Compensation—Stock Compensation, to simplify the accounting for share-based payments to nonemployees by aligning it with the accounting for share-based payments for employees, with certain exceptions. Under the new guidance, the cost for nonemployee awards may be lower and less volatile than under current US GAAP because the measurement generally will occur earlier and will be fixed at the grant date. This update is effective for annual financial reporting periods, and interim periods within those annual periods, beginning after December 15, 2018, although early adoption is permitted. We are currently evaluating the impact it will have on our Condensed Consolidated Financial Statements.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CONTROLLING SHAREHOLDER</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At June 30, 2018, Tontine Capital Partners, L.P., together with its affiliates (collectively, “Tontine”), was the Company’s controlling shareholder, owning approximately 59% of the Company’s outstanding common stock according to a Form 4 filed with the SEC by Tontine on July 2, 2018. Accordingly, Tontine has the ability to exercise significant control over our affairs, including the election of directors and most actions requiring the approval of shareholders.</w:t>
      </w:r>
    </w:p>
    <w:p>
      <w:pPr>
        <w:spacing w:after="0" w:line="18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While Tontine is subject to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88"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new tax benefit protection plan (the “NOL Rights Plan”). The NOL Rights Plan was designed to deter an acquisition of the Company’s stock in excess of a threshold amount that could trigger a change of control within the meaning of Internal Revenue Code Section 382. There can be no assurance that the NOL Rights Plan will be effective in deterring a change of ownership or protecting the NOLs. Furthermore, a change in control would trigger the change of control provisions in a number of our material agreements, including our credit facility, bonding agreements with our sureties and our severance arrangements.</w:t>
      </w:r>
    </w:p>
    <w:p>
      <w:pPr>
        <w:spacing w:after="0" w:line="16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Jeffrey L. Gendell was appointed as a member of the Board of Directors and as non-executive Chairman of the Board in November 2016. He is the managing member and founder of Tontine, and the brother of David B. Gendell, who has served as a member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 since February 2012 and as Interim Director of Operations of the Company since November 2017, and who</w:t>
      </w:r>
    </w:p>
    <w:p>
      <w:pPr>
        <w:spacing w:after="0" w:line="23" w:lineRule="exact"/>
        <w:rPr>
          <w:sz w:val="20"/>
          <w:szCs w:val="20"/>
          <w:color w:val="auto"/>
        </w:rPr>
      </w:pPr>
    </w:p>
    <w:p>
      <w:pPr>
        <w:ind w:left="200" w:right="140"/>
        <w:spacing w:after="0" w:line="290" w:lineRule="auto"/>
        <w:rPr>
          <w:sz w:val="20"/>
          <w:szCs w:val="20"/>
          <w:color w:val="auto"/>
        </w:rPr>
      </w:pPr>
      <w:r>
        <w:rPr>
          <w:rFonts w:ascii="Arial" w:cs="Arial" w:eastAsia="Arial" w:hAnsi="Arial"/>
          <w:sz w:val="17"/>
          <w:szCs w:val="17"/>
          <w:color w:val="auto"/>
        </w:rPr>
        <w:t>previously served as non-executive Vice Chairman of the Board from November 2016 to November 2017 and as non-executive Chairman of the Board from January 2015 to November 2016. David B. Gendell was an employee of Tontine from 2004 until December 31, 2017.</w:t>
      </w:r>
    </w:p>
    <w:p>
      <w:pPr>
        <w:spacing w:after="0" w:line="16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is party to a sublease agreement with Tontine Associates, LLC, an affiliate of Tontine, for corporate office space in Greenwich, Connecticut. The lease was renewed for a three-year term in April 2016 with an increase in the monthly rent to $8, reflecting the increase paid by Tontine Associates, LLC to its landlord and the Company’s increased use of the corporate office space. The lease has terms at market rates and payments by the Company are at a rate consistent with that paid by Tontine Associates, LLC to its landlord.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DEBT</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At June 30, 2018, and September 30, 2017, our long-term debt of $29,634 and $29,434, respectively, primarily related to amounts drawn on our revolving credit facility. Our weighted-average annual interest rate on these borrowings was 3.74% at June 30, 2018, and 3.04% at September 30, 2017. At June 30, 2018, we also had $6,928 in outstanding letters of credit and total availability of $47,231 under this facility without violating our financial covenants.</w:t>
      </w:r>
    </w:p>
    <w:p>
      <w:pPr>
        <w:spacing w:after="0" w:line="18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On July 23, 2018, we entered into the Third Amendment (the “Amendment”) to our Second Amended and Restated Credit and Security Agreement (as amended, the “Credit Agreement”).</w:t>
      </w:r>
    </w:p>
    <w:p>
      <w:pPr>
        <w:spacing w:after="0" w:line="170"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Pursuant to the Amendment, we will be required to comply with the minimum EBITDA financial covenant of the Credit Agreement in a given quarter only if our Excess Availability (as defined in the Credit Agreement) in the immediately following quarter, as tested monthly during that quarter, falls below $30,000. If, in a subsequent quarter, Excess Availability levels return to or exceed the contractual threshold, then the Company will no longer be required to comply with the minimum EBITDA financial covenant, so long as Excess Availability remains above the threshold.</w:t>
      </w:r>
    </w:p>
    <w:p>
      <w:pPr>
        <w:spacing w:after="0" w:line="154"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There have been no other changes to the financial or other covenants disclosed in Item 7 of our Annual Report on Form 10-K for the year ended September 30, 2017. The Company was in compliance with the financial covenants as of June 30, 2018.</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At June 30, 2018, the carrying value of amounts outstanding on our revolving credit facility approximated fair value, as debt incurs interest at a variable rate. The fair value of the debt is classified as a Level 2 measurement.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PER SHARE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tables reconcile the components of basic and diluted earnings per share for the three and nine months ended June 30, 2018, and 2017:</w:t>
      </w:r>
    </w:p>
    <w:p>
      <w:pPr>
        <w:spacing w:after="0" w:line="271"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ind w:left="300"/>
              <w:spacing w:after="0"/>
              <w:rPr>
                <w:sz w:val="20"/>
                <w:szCs w:val="20"/>
                <w:color w:val="auto"/>
              </w:rPr>
            </w:pPr>
            <w:r>
              <w:rPr>
                <w:rFonts w:ascii="Arial" w:cs="Arial" w:eastAsia="Arial" w:hAnsi="Arial"/>
                <w:sz w:val="14"/>
                <w:szCs w:val="14"/>
                <w:color w:val="auto"/>
              </w:rPr>
              <w:t>Three Months Ended June 30,</w:t>
            </w: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2018</w:t>
            </w:r>
          </w:p>
        </w:tc>
        <w:tc>
          <w:tcPr>
            <w:tcW w:w="6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7"/>
              </w:rPr>
              <w:t>Net income attributable to common shareholders of IES Holdings,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attributable to restricted shareholders of IES Holdings, Inc.</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attributable to IES Holdings, Inc.</w:t>
            </w: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21,200,635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21,300,716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131,248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255,402</w:t>
            </w:r>
          </w:p>
        </w:tc>
        <w:tc>
          <w:tcPr>
            <w:tcW w:w="40" w:type="dxa"/>
            <w:vAlign w:val="bottom"/>
            <w:shd w:val="clear" w:color="auto" w:fill="CCEEFF"/>
          </w:tcPr>
          <w:p>
            <w:pPr>
              <w:spacing w:after="0"/>
              <w:rPr>
                <w:sz w:val="18"/>
                <w:szCs w:val="18"/>
                <w:color w:val="auto"/>
              </w:rPr>
            </w:pPr>
          </w:p>
        </w:tc>
      </w:tr>
      <w:tr>
        <w:trPr>
          <w:trHeight w:val="209"/>
        </w:trPr>
        <w:tc>
          <w:tcPr>
            <w:tcW w:w="5480" w:type="dxa"/>
            <w:vAlign w:val="bottom"/>
            <w:gridSpan w:val="2"/>
          </w:tcPr>
          <w:p>
            <w:pPr>
              <w:spacing w:after="0"/>
              <w:rPr>
                <w:sz w:val="20"/>
                <w:szCs w:val="20"/>
                <w:color w:val="auto"/>
              </w:rPr>
            </w:pPr>
            <w:r>
              <w:rPr>
                <w:rFonts w:ascii="Arial" w:cs="Arial" w:eastAsia="Arial" w:hAnsi="Arial"/>
                <w:sz w:val="18"/>
                <w:szCs w:val="18"/>
                <w:color w:val="auto"/>
              </w:rPr>
              <w:t>Weighted average common and common equivalent shares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5480" w:type="dxa"/>
            <w:vAlign w:val="bottom"/>
            <w:gridSpan w:val="2"/>
          </w:tcPr>
          <w:p>
            <w:pPr>
              <w:spacing w:after="0"/>
              <w:rPr>
                <w:sz w:val="20"/>
                <w:szCs w:val="20"/>
                <w:color w:val="auto"/>
              </w:rPr>
            </w:pPr>
            <w:r>
              <w:rPr>
                <w:rFonts w:ascii="Arial" w:cs="Arial" w:eastAsia="Arial" w:hAnsi="Arial"/>
                <w:sz w:val="18"/>
                <w:szCs w:val="18"/>
                <w:color w:val="auto"/>
              </w:rPr>
              <w:t>outstanding — diluted</w:t>
            </w:r>
          </w:p>
        </w:tc>
        <w:tc>
          <w:tcPr>
            <w:tcW w:w="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21,331,883</w:t>
            </w:r>
          </w:p>
        </w:tc>
        <w:tc>
          <w:tcPr>
            <w:tcW w:w="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21,556,118</w:t>
            </w:r>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attributable to IES Holdings, Inc.: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40" w:type="dxa"/>
            <w:vAlign w:val="bottom"/>
            <w:shd w:val="clear" w:color="auto" w:fill="CCEEFF"/>
          </w:tcPr>
          <w:p>
            <w:pPr>
              <w:spacing w:after="0"/>
              <w:rPr>
                <w:sz w:val="18"/>
                <w:szCs w:val="18"/>
                <w:color w:val="auto"/>
              </w:rPr>
            </w:pPr>
          </w:p>
        </w:tc>
      </w:tr>
      <w:tr>
        <w:trPr>
          <w:trHeight w:val="365"/>
        </w:trPr>
        <w:tc>
          <w:tcPr>
            <w:tcW w:w="5480" w:type="dxa"/>
            <w:vAlign w:val="bottom"/>
            <w:gridSpan w:val="2"/>
          </w:tcPr>
          <w:p>
            <w:pPr>
              <w:jc w:val="right"/>
              <w:ind w:right="111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ind w:left="320"/>
              <w:spacing w:after="0"/>
              <w:rPr>
                <w:sz w:val="20"/>
                <w:szCs w:val="20"/>
                <w:color w:val="auto"/>
              </w:rPr>
            </w:pPr>
            <w:r>
              <w:rPr>
                <w:rFonts w:ascii="Arial" w:cs="Arial" w:eastAsia="Arial" w:hAnsi="Arial"/>
                <w:sz w:val="14"/>
                <w:szCs w:val="14"/>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w w:val="95"/>
              </w:rPr>
              <w:t>Net income (loss) attributable to common shareholders of IES Holdings,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Inc.</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(18,788)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noncontrolling interest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7"/>
              </w:rPr>
              <w:t>Net income attributable to restricted shareholders of IES Holdings, Inc.</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IES Holdings, Inc.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21,193,306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21,295,254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Effect of dilutive stock options and non-vested restricted 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255,550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and common equivalent shares</w:t>
            </w: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diluted</w:t>
            </w:r>
          </w:p>
        </w:tc>
        <w:tc>
          <w:tcPr>
            <w:tcW w:w="3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21,193,306</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21,550,804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IES Holdings, Inc.:</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When an entity has a net loss, it is prohibited from including potential common shares in the computation of diluted per share amounts. Accordingly, we have utilized basic shares outstanding to calculate both basic and diluted loss per share for the nine months ended June 30, 2018. The number of potential anti-dilutive shares excluded from the calculation was 211,669 shares. For the three months ended June 30, 2018, and the three and nine months ended June 30, 2017, the average price of our common shares exceeded the exercise price of all of our outstanding options; therefore, all of our outstanding stock options were included in the computation of fully diluted earnings per share.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OPERATING SEGMENTS</w:t>
      </w:r>
    </w:p>
    <w:p>
      <w:pPr>
        <w:spacing w:after="0" w:line="12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We manage and measure performance of our business in four distinct operating segments: Commercial &amp; Industrial, Communications, Infrastructure Solutions and Residential.</w:t>
      </w:r>
    </w:p>
    <w:p>
      <w:pPr>
        <w:spacing w:after="0" w:line="17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Transactions between segments, if any, are eliminated in consolidation. Our corporate office provides general and administrative, as well as support services, to our four operating segments. Management allocates certain shared costs between segments for selling, general and administrative expenses and depreciation expense.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Segment information for the three and nine months ended June 30, 2018, and 2017 is as follows: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color w:val="auto"/>
              </w:rPr>
              <w:t>Three Months Ended June 30, 2018</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gridSpan w:val="3"/>
          </w:tcPr>
          <w:p>
            <w:pPr>
              <w:spacing w:after="0" w:line="123" w:lineRule="exact"/>
              <w:rPr>
                <w:sz w:val="20"/>
                <w:szCs w:val="20"/>
                <w:color w:val="auto"/>
              </w:rPr>
            </w:pPr>
            <w:r>
              <w:rPr>
                <w:rFonts w:ascii="Arial" w:cs="Arial" w:eastAsia="Arial" w:hAnsi="Arial"/>
                <w:sz w:val="14"/>
                <w:szCs w:val="14"/>
                <w:color w:val="auto"/>
              </w:rPr>
              <w:t>Commercial &amp;</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gridSpan w:val="3"/>
          </w:tcPr>
          <w:p>
            <w:pPr>
              <w:ind w:left="260"/>
              <w:spacing w:after="0" w:line="123" w:lineRule="exact"/>
              <w:rPr>
                <w:sz w:val="20"/>
                <w:szCs w:val="20"/>
                <w:color w:val="auto"/>
              </w:rPr>
            </w:pPr>
            <w:r>
              <w:rPr>
                <w:rFonts w:ascii="Arial" w:cs="Arial" w:eastAsia="Arial" w:hAnsi="Arial"/>
                <w:sz w:val="14"/>
                <w:szCs w:val="14"/>
                <w:color w:val="auto"/>
                <w:w w:val="92"/>
              </w:rPr>
              <w:t>Infrastructure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Industrial</w:t>
            </w:r>
          </w:p>
        </w:tc>
        <w:tc>
          <w:tcPr>
            <w:tcW w:w="1100" w:type="dxa"/>
            <w:vAlign w:val="bottom"/>
            <w:gridSpan w:val="3"/>
          </w:tcPr>
          <w:p>
            <w:pPr>
              <w:ind w:left="120"/>
              <w:spacing w:after="0"/>
              <w:rPr>
                <w:sz w:val="20"/>
                <w:szCs w:val="20"/>
                <w:color w:val="auto"/>
              </w:rPr>
            </w:pPr>
            <w:r>
              <w:rPr>
                <w:rFonts w:ascii="Arial" w:cs="Arial" w:eastAsia="Arial" w:hAnsi="Arial"/>
                <w:sz w:val="14"/>
                <w:szCs w:val="14"/>
                <w:color w:val="auto"/>
                <w:w w:val="92"/>
              </w:rPr>
              <w:t>Communications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w w:val="93"/>
              </w:rPr>
              <w:t>Solutions</w:t>
            </w:r>
          </w:p>
        </w:tc>
        <w:tc>
          <w:tcPr>
            <w:tcW w:w="920" w:type="dxa"/>
            <w:vAlign w:val="bottom"/>
            <w:gridSpan w:val="3"/>
          </w:tcPr>
          <w:p>
            <w:pPr>
              <w:ind w:left="260"/>
              <w:spacing w:after="0"/>
              <w:rPr>
                <w:sz w:val="20"/>
                <w:szCs w:val="20"/>
                <w:color w:val="auto"/>
              </w:rPr>
            </w:pPr>
            <w:r>
              <w:rPr>
                <w:rFonts w:ascii="Arial" w:cs="Arial" w:eastAsia="Arial" w:hAnsi="Arial"/>
                <w:sz w:val="14"/>
                <w:szCs w:val="14"/>
                <w:color w:val="auto"/>
                <w:w w:val="92"/>
              </w:rPr>
              <w:t>Residential</w:t>
            </w:r>
          </w:p>
        </w:tc>
        <w:tc>
          <w:tcPr>
            <w:tcW w:w="2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75,196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232,576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services</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60,063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190,039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0" w:type="dxa"/>
            <w:vAlign w:val="bottom"/>
            <w:gridSpan w:val="2"/>
          </w:tcPr>
          <w:p>
            <w:pPr>
              <w:ind w:left="10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86,012</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87,948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2"/>
          </w:tcPr>
          <w:p>
            <w:pPr>
              <w:jc w:val="right"/>
              <w:ind w:right="260"/>
              <w:spacing w:after="0"/>
              <w:rPr>
                <w:sz w:val="20"/>
                <w:szCs w:val="20"/>
                <w:color w:val="auto"/>
              </w:rPr>
            </w:pPr>
            <w:r>
              <w:rPr>
                <w:rFonts w:ascii="Arial" w:cs="Arial" w:eastAsia="Arial" w:hAnsi="Arial"/>
                <w:sz w:val="14"/>
                <w:szCs w:val="14"/>
                <w:color w:val="auto"/>
              </w:rPr>
              <w:t>Three Months Ended June 30,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spacing w:after="0" w:line="123" w:lineRule="exact"/>
              <w:rPr>
                <w:sz w:val="20"/>
                <w:szCs w:val="20"/>
                <w:color w:val="auto"/>
              </w:rPr>
            </w:pPr>
            <w:r>
              <w:rPr>
                <w:rFonts w:ascii="Arial" w:cs="Arial" w:eastAsia="Arial" w:hAnsi="Arial"/>
                <w:sz w:val="14"/>
                <w:szCs w:val="14"/>
                <w:color w:val="auto"/>
              </w:rPr>
              <w:t>Commercial &amp;</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spacing w:after="0" w:line="123" w:lineRule="exact"/>
              <w:rPr>
                <w:sz w:val="20"/>
                <w:szCs w:val="20"/>
                <w:color w:val="auto"/>
              </w:rPr>
            </w:pPr>
            <w:r>
              <w:rPr>
                <w:rFonts w:ascii="Arial" w:cs="Arial" w:eastAsia="Arial" w:hAnsi="Arial"/>
                <w:sz w:val="14"/>
                <w:szCs w:val="14"/>
                <w:color w:val="auto"/>
              </w:rPr>
              <w:t>Infrastructure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w w:val="98"/>
              </w:rPr>
              <w:t>Industrial</w:t>
            </w:r>
          </w:p>
        </w:tc>
        <w:tc>
          <w:tcPr>
            <w:tcW w:w="80" w:type="dxa"/>
            <w:vAlign w:val="bottom"/>
          </w:tcPr>
          <w:p>
            <w:pPr>
              <w:spacing w:after="0"/>
              <w:rPr>
                <w:sz w:val="14"/>
                <w:szCs w:val="14"/>
                <w:color w:val="auto"/>
              </w:rPr>
            </w:pPr>
          </w:p>
        </w:tc>
        <w:tc>
          <w:tcPr>
            <w:tcW w:w="1200" w:type="dxa"/>
            <w:vAlign w:val="bottom"/>
            <w:gridSpan w:val="5"/>
          </w:tcPr>
          <w:p>
            <w:pPr>
              <w:ind w:left="60"/>
              <w:spacing w:after="0"/>
              <w:rPr>
                <w:sz w:val="20"/>
                <w:szCs w:val="20"/>
                <w:color w:val="auto"/>
              </w:rPr>
            </w:pPr>
            <w:r>
              <w:rPr>
                <w:rFonts w:ascii="Arial" w:cs="Arial" w:eastAsia="Arial" w:hAnsi="Arial"/>
                <w:sz w:val="14"/>
                <w:szCs w:val="14"/>
                <w:color w:val="auto"/>
              </w:rPr>
              <w:t>Communications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Solutions</w:t>
            </w:r>
          </w:p>
        </w:tc>
        <w:tc>
          <w:tcPr>
            <w:tcW w:w="24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w w:val="86"/>
              </w:rPr>
              <w:t>Residential</w:t>
            </w:r>
          </w:p>
        </w:tc>
        <w:tc>
          <w:tcPr>
            <w:tcW w:w="60" w:type="dxa"/>
            <w:vAlign w:val="bottom"/>
          </w:tcPr>
          <w:p>
            <w:pPr>
              <w:spacing w:after="0"/>
              <w:rPr>
                <w:sz w:val="14"/>
                <w:szCs w:val="14"/>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w w:val="99"/>
              </w:rPr>
              <w:t>Corporate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$ 70,162</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208,323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services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54,307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172,925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15,855</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11,003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(3,709)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66,190</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70,427</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103,323</w:t>
            </w:r>
          </w:p>
        </w:tc>
        <w:tc>
          <w:tcPr>
            <w:tcW w:w="1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$ 51,995</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$125,222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417,157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2"/>
          </w:tcPr>
          <w:p>
            <w:pPr>
              <w:jc w:val="right"/>
              <w:ind w:right="280"/>
              <w:spacing w:after="0"/>
              <w:rPr>
                <w:sz w:val="20"/>
                <w:szCs w:val="20"/>
                <w:color w:val="auto"/>
              </w:rPr>
            </w:pPr>
            <w:r>
              <w:rPr>
                <w:rFonts w:ascii="Arial" w:cs="Arial" w:eastAsia="Arial" w:hAnsi="Arial"/>
                <w:sz w:val="14"/>
                <w:szCs w:val="14"/>
                <w:color w:val="auto"/>
              </w:rPr>
              <w:t>Nine Months Ended June 30,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spacing w:after="0" w:line="123" w:lineRule="exact"/>
              <w:rPr>
                <w:sz w:val="20"/>
                <w:szCs w:val="20"/>
                <w:color w:val="auto"/>
              </w:rPr>
            </w:pPr>
            <w:r>
              <w:rPr>
                <w:rFonts w:ascii="Arial" w:cs="Arial" w:eastAsia="Arial" w:hAnsi="Arial"/>
                <w:sz w:val="14"/>
                <w:szCs w:val="14"/>
                <w:color w:val="auto"/>
              </w:rPr>
              <w:t>Commercial &amp;</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right"/>
              <w:ind w:right="20"/>
              <w:spacing w:after="0" w:line="123" w:lineRule="exact"/>
              <w:rPr>
                <w:sz w:val="20"/>
                <w:szCs w:val="20"/>
                <w:color w:val="auto"/>
              </w:rPr>
            </w:pPr>
            <w:r>
              <w:rPr>
                <w:rFonts w:ascii="Arial" w:cs="Arial" w:eastAsia="Arial" w:hAnsi="Arial"/>
                <w:sz w:val="14"/>
                <w:szCs w:val="14"/>
                <w:color w:val="auto"/>
                <w:w w:val="99"/>
              </w:rPr>
              <w:t>Infrastructure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Industrial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Communications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Solutions</w:t>
            </w:r>
          </w:p>
        </w:tc>
        <w:tc>
          <w:tcPr>
            <w:tcW w:w="2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2"/>
              </w:rPr>
              <w:t>Residential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196,747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70,407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$210,328</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636,553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services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175,066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129,667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54,543</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167,836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527,112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29,404</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15,864</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42,492</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19,624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19,478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13,762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9,935</w:t>
            </w: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1,944</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(8,249)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1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gridSpan w:val="3"/>
          </w:tcPr>
          <w:p>
            <w:pPr>
              <w:ind w:left="10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18"/>
                <w:szCs w:val="18"/>
                <w:color w:val="auto"/>
              </w:rPr>
            </w:pPr>
          </w:p>
        </w:tc>
        <w:tc>
          <w:tcPr>
            <w:tcW w:w="3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86,012</w:t>
            </w: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67,270</w:t>
            </w: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102,233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$87,948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2"/>
          </w:tcPr>
          <w:p>
            <w:pPr>
              <w:jc w:val="right"/>
              <w:ind w:right="340"/>
              <w:spacing w:after="0"/>
              <w:rPr>
                <w:sz w:val="20"/>
                <w:szCs w:val="20"/>
                <w:color w:val="auto"/>
              </w:rPr>
            </w:pPr>
            <w:r>
              <w:rPr>
                <w:rFonts w:ascii="Arial" w:cs="Arial" w:eastAsia="Arial" w:hAnsi="Arial"/>
                <w:sz w:val="14"/>
                <w:szCs w:val="14"/>
                <w:color w:val="auto"/>
              </w:rPr>
              <w:t>Nine Months Ended June 30,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gridSpan w:val="5"/>
          </w:tcPr>
          <w:p>
            <w:pPr>
              <w:jc w:val="right"/>
              <w:ind w:right="240"/>
              <w:spacing w:after="0" w:line="123" w:lineRule="exact"/>
              <w:rPr>
                <w:sz w:val="20"/>
                <w:szCs w:val="20"/>
                <w:color w:val="auto"/>
              </w:rPr>
            </w:pPr>
            <w:r>
              <w:rPr>
                <w:rFonts w:ascii="Arial" w:cs="Arial" w:eastAsia="Arial" w:hAnsi="Arial"/>
                <w:sz w:val="14"/>
                <w:szCs w:val="14"/>
                <w:color w:val="auto"/>
                <w:w w:val="93"/>
              </w:rPr>
              <w:t>Commercial &amp;</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5"/>
          </w:tcPr>
          <w:p>
            <w:pPr>
              <w:jc w:val="right"/>
              <w:ind w:right="100"/>
              <w:spacing w:after="0" w:line="123" w:lineRule="exact"/>
              <w:rPr>
                <w:sz w:val="20"/>
                <w:szCs w:val="20"/>
                <w:color w:val="auto"/>
              </w:rPr>
            </w:pPr>
            <w:r>
              <w:rPr>
                <w:rFonts w:ascii="Arial" w:cs="Arial" w:eastAsia="Arial" w:hAnsi="Arial"/>
                <w:sz w:val="14"/>
                <w:szCs w:val="14"/>
                <w:color w:val="auto"/>
              </w:rPr>
              <w:t>Infrastructure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380"/>
              <w:spacing w:after="0"/>
              <w:rPr>
                <w:sz w:val="20"/>
                <w:szCs w:val="20"/>
                <w:color w:val="auto"/>
              </w:rPr>
            </w:pPr>
            <w:r>
              <w:rPr>
                <w:rFonts w:ascii="Arial" w:cs="Arial" w:eastAsia="Arial" w:hAnsi="Arial"/>
                <w:sz w:val="14"/>
                <w:szCs w:val="14"/>
                <w:color w:val="auto"/>
              </w:rPr>
              <w:t>Industrial</w:t>
            </w:r>
          </w:p>
        </w:tc>
        <w:tc>
          <w:tcPr>
            <w:tcW w:w="1280" w:type="dxa"/>
            <w:vAlign w:val="bottom"/>
            <w:gridSpan w:val="6"/>
          </w:tcPr>
          <w:p>
            <w:pPr>
              <w:jc w:val="right"/>
              <w:ind w:right="220"/>
              <w:spacing w:after="0"/>
              <w:rPr>
                <w:sz w:val="20"/>
                <w:szCs w:val="20"/>
                <w:color w:val="auto"/>
              </w:rPr>
            </w:pPr>
            <w:r>
              <w:rPr>
                <w:rFonts w:ascii="Arial" w:cs="Arial" w:eastAsia="Arial" w:hAnsi="Arial"/>
                <w:sz w:val="14"/>
                <w:szCs w:val="14"/>
                <w:color w:val="auto"/>
                <w:w w:val="99"/>
              </w:rPr>
              <w:t>Communications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Solutions</w:t>
            </w:r>
          </w:p>
        </w:tc>
        <w:tc>
          <w:tcPr>
            <w:tcW w:w="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Residential</w:t>
            </w:r>
          </w:p>
        </w:tc>
        <w:tc>
          <w:tcPr>
            <w:tcW w:w="60" w:type="dxa"/>
            <w:vAlign w:val="bottom"/>
          </w:tcPr>
          <w:p>
            <w:pPr>
              <w:spacing w:after="0"/>
              <w:rPr>
                <w:sz w:val="14"/>
                <w:szCs w:val="14"/>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4"/>
                <w:szCs w:val="14"/>
                <w:color w:val="auto"/>
                <w:w w:val="99"/>
              </w:rPr>
              <w:t>Corporate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168,006</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172,058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$204,527</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604,163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services</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154,628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157,370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501,769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47,157</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32,488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14,635</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7"/>
              </w:rPr>
              <w:t>$ (10,797)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Other data:</w:t>
            </w: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203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203</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66,190</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70,427</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103,323</w:t>
            </w:r>
          </w:p>
        </w:tc>
        <w:tc>
          <w:tcPr>
            <w:tcW w:w="1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51,995</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$125,222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417,157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Incentive Plan</w:t>
      </w:r>
    </w:p>
    <w:p>
      <w:pPr>
        <w:spacing w:after="0" w:line="117"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1,092,503 shares were available for issuance at June 30,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20,810 and 100,627 shares, respectively, of our common stock during the three and nine months ended June 30, 2018, in open market transactions at an average price of $15.45 and $15.41, respectively, per share. We repurchased 51,673 shares of our common stock during the three and nine months ended June 30, 2017, in open market transactions at an average price of $15.68 per share.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During the nine months ended June 30, 2018, we repurchased 32,832 shares of common stock from our employees to satisfy minimum tax withholding requirements upon the vesting of restricted stock under the Equity Incentive Plan and repurchased 100,627 shares of common stock on the open market pursuant to our stock repurchase program. During the nine months ended June 30, 2018, we issued 520 unrestricted shares of common stock from treasury stock to members of our Board of Directors as part of their overall compensation and 1,500 unrestricted shares to satisfy the exercise of outstanding options.</w:t>
      </w:r>
    </w:p>
    <w:p>
      <w:pPr>
        <w:spacing w:after="0" w:line="188" w:lineRule="exact"/>
        <w:rPr>
          <w:sz w:val="20"/>
          <w:szCs w:val="20"/>
          <w:color w:val="auto"/>
        </w:rPr>
      </w:pPr>
    </w:p>
    <w:p>
      <w:pPr>
        <w:jc w:val="both"/>
        <w:ind w:left="200" w:right="140"/>
        <w:spacing w:after="0" w:line="257" w:lineRule="auto"/>
        <w:rPr>
          <w:sz w:val="20"/>
          <w:szCs w:val="20"/>
          <w:color w:val="auto"/>
        </w:rPr>
      </w:pPr>
      <w:r>
        <w:rPr>
          <w:rFonts w:ascii="Arial" w:cs="Arial" w:eastAsia="Arial" w:hAnsi="Arial"/>
          <w:sz w:val="18"/>
          <w:szCs w:val="18"/>
          <w:color w:val="auto"/>
        </w:rPr>
        <w:t>During the nine months ended June 30, 2017, we repurchased 4,575 shares of common stock from our employees to satisfy minimum tax withholding requirements upon the vesting of restricted stock issued under the Equity Incentive Plan and repurchased 51,673 shares of common stock on the open market pursuant to our stock repurchase program. During the nine months ended June 30, 2017, we issued 1,545 unrestricted shares of common stock from treasury stock to members of our Board of Directors as part of their overall compensation and 32,250 unrestricted shares to satisfy the exercise of outstanding options.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ind w:left="200" w:right="200"/>
        <w:spacing w:after="0" w:line="312" w:lineRule="auto"/>
        <w:rPr>
          <w:sz w:val="20"/>
          <w:szCs w:val="20"/>
          <w:color w:val="auto"/>
        </w:rPr>
      </w:pPr>
      <w:r>
        <w:rPr>
          <w:rFonts w:ascii="Arial" w:cs="Arial" w:eastAsia="Arial" w:hAnsi="Arial"/>
          <w:sz w:val="16"/>
          <w:szCs w:val="16"/>
          <w:color w:val="auto"/>
        </w:rPr>
        <w:t>During the three months ended June 30, 2018, and 2017, we recognized $11 and $133, respectively, in compensation expense related to our restricted stock awards. During the nine months ended June 30, 2018, and 2017, we recognized $256 and $406, respectively, in compensation expense related to our restricted stock awards. At June 30, 2018, the unamortized compensation cost related to outstanding unvested restricted stock was zero.</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Based Phantom Cash Units</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Performance based phantom cash units (“PPCUs”) are a contractual right to a cash payment of $20 per PPCU. The PPCUs will generally become vested, if at all, upon achievement of certain specified performance objectives. During the three months ended June 30, 2018, and 2017, we recognized compensation expense of zero and $59, respectively, related to these units. During the nine months ended June 30, 2018, and 2017, we recognized compensation expense of zero and $252, respectively, related to these units.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Phantom stock units (“PSUs”) are primarily granted to the members of the Board of Directors as part of their overall compensation. These PSUs are paid via unrestricted stock grants to each director upon their departure from the Board of Directors. We record compensation expense for the full value of the grant on the date of grant. During the three months ended June 30, 2018, and 2017, we recognized $49 and $41, respectively, in compensation expense related to these grants. During the nine months ended June 30, 2018, and 2017, we recognized $140 and $125, respectively, in compensation expense related to these grants.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Based Phantom Stock Units</w:t>
      </w:r>
    </w:p>
    <w:p>
      <w:pPr>
        <w:spacing w:after="0" w:line="117"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 performance based phantom stock unit (a “PPSU”) is a contractual right to receive one share of the Company’s common stock upon the achievement of certain specified performance objectives and continued performance of services. At June 30, 2018, the Company had outstanding an aggregate of 399,027 three-year PPSUs. The vesting of these awards is subject to the achievement of specified levels of cumulative net income before taxes or specified stock price levels and continued performance of services through mid-December 2018. At June 30, 2018, redemption of a portion of the awards is deemed probable. During the three and nine months ended June 30, 2018, we recognized a benefit to compensation expense of $343 and $792, respectively, related to these grants. This benefit is a result of a reduction in the estimated number of units deemed probable of vesting, based on the projected achievement of specified performance objectives. During the three and nine months ended June 30, 2017, we recognized compensation expense of $225 and $753, respectively, related to these grants.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SECURITIES AND EQUITY INVESTMENTS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financial instruments consist of cash and cash equivalents, accounts receivable, notes receivable, investments, accounts payable and a loan agreement. We believe that the carrying value of these financial instruments in the accompanying Condensed Consolidated Balance Sheets approximates their fair value due to their short-term nature. Additionally, we have a cost method investment in EnerTech Capital Partners II L.P. (“EnerTech”). We estimate the fair value of our investment in EnerTech (Level 3) using cash flow projections and market multiples of the underlying non-public companies.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Investment in EnerTech</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presents the reconciliation of the carrying value to the fair value of the investment in EnerTech as of June 30, 2018,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2017:</w:t>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6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1540" w:type="dxa"/>
            <w:vAlign w:val="bottom"/>
            <w:gridSpan w:val="4"/>
          </w:tcPr>
          <w:p>
            <w:pPr>
              <w:jc w:val="right"/>
              <w:ind w:right="6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2018</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Unrealized gains</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At each reporting date, the Company performs an evaluation of impairment for securities to determine if any unrealized losses are other-than temporary. Based on the results of this evaluation, we believe the unrealized gain at June 30, 2018, and September 30, 2017, indicated our investment was not impaired.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EMPLOYEE BENEFIT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Company offers employees the opportunity to participate in its 401(k) savings plans. During the three months ended June 30, 2018 and 2017, we recognized $466 and $312, respectively, in matching expense. During the nine months ended June 30, 2018 and 2017, we recognized $1,380 and $771, respectively, in matching expense.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 Retirement Benefit Plans</w:t>
      </w:r>
    </w:p>
    <w:p>
      <w:pPr>
        <w:spacing w:after="0" w:line="117"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Certain individuals at one of the Company’s locations are entitled to receive fixed annual payments pursuant to post retirement benefit plans. We had an unfunded benefit liability of $755 recorded as of June 30, 2018, and $815 as of September 30, 2017, related to such plans.</w:t>
      </w:r>
    </w:p>
    <w:p>
      <w:pPr>
        <w:sectPr>
          <w:pgSz w:w="11900" w:h="16838" w:orient="portrait"/>
          <w:cols w:equalWidth="0" w:num="1">
            <w:col w:w="11220"/>
          </w:cols>
          <w:pgMar w:left="240" w:top="459" w:right="439" w:bottom="1440" w:gutter="0" w:footer="0" w:header="0"/>
        </w:sectPr>
      </w:pP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Measurement Accounting</w:t>
      </w:r>
    </w:p>
    <w:p>
      <w:pPr>
        <w:spacing w:after="0" w:line="117"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Fair value is considered the price to sell an asset, or transfer a liability, between market participants on the measurement date. Fair value measurements assume that the asset or liability is (1)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67"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At June 30, 2018,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spacing w:after="0" w:line="18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as of June 30, 2018, and September 30, 2017, are summarized in the following tables by the type of inputs applicable to the fair value measurements:</w:t>
      </w: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5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June 30, 2018</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4"/>
              <w:spacing w:after="0" w:line="123"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0"/>
                <w:szCs w:val="10"/>
                <w:color w:val="auto"/>
              </w:rPr>
            </w:pPr>
          </w:p>
        </w:tc>
      </w:tr>
      <w:tr>
        <w:trPr>
          <w:trHeight w:val="149"/>
        </w:trPr>
        <w:tc>
          <w:tcPr>
            <w:tcW w:w="5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Quoted Prices</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Unobservable</w:t>
            </w:r>
          </w:p>
        </w:tc>
      </w:tr>
      <w:tr>
        <w:trPr>
          <w:trHeight w:val="167"/>
        </w:trPr>
        <w:tc>
          <w:tcPr>
            <w:tcW w:w="50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Total Fair Value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4"/>
                <w:szCs w:val="14"/>
                <w:color w:val="auto"/>
                <w:w w:val="99"/>
              </w:rPr>
              <w:t>(Level 1)</w:t>
            </w:r>
          </w:p>
        </w:tc>
        <w:tc>
          <w:tcPr>
            <w:tcW w:w="1040" w:type="dxa"/>
            <w:vAlign w:val="bottom"/>
            <w:gridSpan w:val="3"/>
          </w:tcPr>
          <w:p>
            <w:pPr>
              <w:spacing w:after="0"/>
              <w:rPr>
                <w:sz w:val="20"/>
                <w:szCs w:val="20"/>
                <w:color w:val="auto"/>
              </w:rPr>
            </w:pPr>
            <w:r>
              <w:rPr>
                <w:rFonts w:ascii="Arial" w:cs="Arial" w:eastAsia="Arial" w:hAnsi="Arial"/>
                <w:sz w:val="14"/>
                <w:szCs w:val="14"/>
                <w:color w:val="auto"/>
              </w:rPr>
              <w:t>Inputs (Level 3)</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3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center"/>
              <w:ind w:left="394"/>
              <w:spacing w:after="0"/>
              <w:rPr>
                <w:sz w:val="20"/>
                <w:szCs w:val="20"/>
                <w:color w:val="auto"/>
              </w:rPr>
            </w:pPr>
            <w:r>
              <w:rPr>
                <w:rFonts w:ascii="Arial" w:cs="Arial" w:eastAsia="Arial" w:hAnsi="Arial"/>
                <w:sz w:val="18"/>
                <w:szCs w:val="18"/>
                <w:color w:val="auto"/>
                <w:w w:val="80"/>
              </w:rPr>
              <w:t>(795)</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rPr>
              <w:t>September 30, 2017</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5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4"/>
              <w:spacing w:after="0" w:line="123"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0"/>
                <w:szCs w:val="10"/>
                <w:color w:val="auto"/>
              </w:rPr>
            </w:pPr>
          </w:p>
        </w:tc>
      </w:tr>
      <w:tr>
        <w:trPr>
          <w:trHeight w:val="149"/>
        </w:trPr>
        <w:tc>
          <w:tcPr>
            <w:tcW w:w="5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Quoted Prices</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Unobservable</w:t>
            </w:r>
          </w:p>
        </w:tc>
      </w:tr>
      <w:tr>
        <w:trPr>
          <w:trHeight w:val="167"/>
        </w:trPr>
        <w:tc>
          <w:tcPr>
            <w:tcW w:w="50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Total Fair Value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4"/>
                <w:szCs w:val="14"/>
                <w:color w:val="auto"/>
                <w:w w:val="99"/>
              </w:rPr>
              <w:t>(Level 1)</w:t>
            </w:r>
          </w:p>
        </w:tc>
        <w:tc>
          <w:tcPr>
            <w:tcW w:w="1040" w:type="dxa"/>
            <w:vAlign w:val="bottom"/>
            <w:gridSpan w:val="3"/>
          </w:tcPr>
          <w:p>
            <w:pPr>
              <w:spacing w:after="0"/>
              <w:rPr>
                <w:sz w:val="20"/>
                <w:szCs w:val="20"/>
                <w:color w:val="auto"/>
              </w:rPr>
            </w:pPr>
            <w:r>
              <w:rPr>
                <w:rFonts w:ascii="Arial" w:cs="Arial" w:eastAsia="Arial" w:hAnsi="Arial"/>
                <w:sz w:val="14"/>
                <w:szCs w:val="14"/>
                <w:color w:val="auto"/>
              </w:rPr>
              <w:t>Inputs (Level 3)</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savings plan assets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Executive savings plan liabilities</w:t>
            </w:r>
          </w:p>
        </w:tc>
        <w:tc>
          <w:tcPr>
            <w:tcW w:w="3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99"/>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center"/>
              <w:ind w:left="394"/>
              <w:spacing w:after="0"/>
              <w:rPr>
                <w:sz w:val="20"/>
                <w:szCs w:val="20"/>
                <w:color w:val="auto"/>
              </w:rPr>
            </w:pPr>
            <w:r>
              <w:rPr>
                <w:rFonts w:ascii="Arial" w:cs="Arial" w:eastAsia="Arial" w:hAnsi="Arial"/>
                <w:sz w:val="18"/>
                <w:szCs w:val="18"/>
                <w:color w:val="auto"/>
                <w:w w:val="80"/>
              </w:rPr>
              <w:t>(786)</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In fiscal years 2016 and 2017, we entered into contingent consideration arrangements related to certain acquisitions. Please see Note 13, “Business Combinations” for further discussion. At June 30, 2018, we estimated the fair value of these contingent consideration liabilities at $795. The table below presents a reconciliation of the fair value of these obligations, which used significant unobservable inputs (Level 3).</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Contingent</w:t>
            </w: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20" w:type="dxa"/>
            <w:vAlign w:val="bottom"/>
            <w:gridSpan w:val="4"/>
          </w:tcPr>
          <w:p>
            <w:pPr>
              <w:ind w:left="2100"/>
              <w:spacing w:after="0" w:line="149" w:lineRule="exact"/>
              <w:rPr>
                <w:sz w:val="20"/>
                <w:szCs w:val="20"/>
                <w:color w:val="auto"/>
              </w:rPr>
            </w:pPr>
            <w:r>
              <w:rPr>
                <w:rFonts w:ascii="Arial" w:cs="Arial" w:eastAsia="Arial" w:hAnsi="Arial"/>
                <w:sz w:val="14"/>
                <w:szCs w:val="14"/>
                <w:color w:val="auto"/>
              </w:rPr>
              <w:t>Consideration</w:t>
            </w: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color w:val="auto"/>
                <w:w w:val="90"/>
              </w:rPr>
              <w:t>Agreements</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September 30, 2017</w:t>
            </w:r>
          </w:p>
        </w:tc>
        <w:tc>
          <w:tcPr>
            <w:tcW w:w="2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Issuances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adjustments to fair value</w:t>
            </w:r>
          </w:p>
        </w:tc>
        <w:tc>
          <w:tcPr>
            <w:tcW w:w="2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2018</w:t>
            </w:r>
          </w:p>
        </w:tc>
        <w:tc>
          <w:tcPr>
            <w:tcW w:w="23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INVENTORY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Inventories consist of the following components: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w w:val="85"/>
              </w:rPr>
              <w:t>June 30,</w:t>
            </w:r>
          </w:p>
        </w:tc>
        <w:tc>
          <w:tcPr>
            <w:tcW w:w="1700" w:type="dxa"/>
            <w:vAlign w:val="bottom"/>
            <w:gridSpan w:val="6"/>
          </w:tcPr>
          <w:p>
            <w:pPr>
              <w:jc w:val="center"/>
              <w:ind w:left="113"/>
              <w:spacing w:after="0"/>
              <w:rPr>
                <w:sz w:val="20"/>
                <w:szCs w:val="20"/>
                <w:color w:val="auto"/>
              </w:rPr>
            </w:pPr>
            <w:r>
              <w:rPr>
                <w:rFonts w:ascii="Arial" w:cs="Arial" w:eastAsia="Arial" w:hAnsi="Arial"/>
                <w:sz w:val="14"/>
                <w:szCs w:val="14"/>
                <w:color w:val="auto"/>
                <w:w w:val="89"/>
              </w:rPr>
              <w:t>September 30,</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4,175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4,396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3,731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Parts and supplies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8,538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7,396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16,923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GOODWILL AND INTANGIBLE ASSETS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gridSpan w:val="3"/>
          </w:tcPr>
          <w:p>
            <w:pPr>
              <w:spacing w:after="0"/>
              <w:rPr>
                <w:sz w:val="20"/>
                <w:szCs w:val="20"/>
                <w:color w:val="auto"/>
              </w:rPr>
            </w:pPr>
            <w:r>
              <w:rPr>
                <w:rFonts w:ascii="Arial" w:cs="Arial" w:eastAsia="Arial" w:hAnsi="Arial"/>
                <w:sz w:val="18"/>
                <w:szCs w:val="18"/>
                <w:i w:val="1"/>
                <w:iCs w:val="1"/>
                <w:color w:val="auto"/>
              </w:rPr>
              <w:t>Goodwill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8"/>
          </w:tcPr>
          <w:p>
            <w:pPr>
              <w:spacing w:after="0"/>
              <w:rPr>
                <w:sz w:val="20"/>
                <w:szCs w:val="20"/>
                <w:color w:val="auto"/>
              </w:rPr>
            </w:pPr>
            <w:r>
              <w:rPr>
                <w:rFonts w:ascii="Arial" w:cs="Arial" w:eastAsia="Arial" w:hAnsi="Arial"/>
                <w:sz w:val="18"/>
                <w:szCs w:val="18"/>
                <w:color w:val="auto"/>
                <w:w w:val="93"/>
              </w:rPr>
              <w:t>The following is a progression of goodwill by segment for the nine months ended June 30, 2018:</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Commercial &amp;</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color w:val="auto"/>
              </w:rPr>
              <w:t>Infrastructure</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Industrial</w:t>
            </w:r>
          </w:p>
        </w:tc>
        <w:tc>
          <w:tcPr>
            <w:tcW w:w="1480" w:type="dxa"/>
            <w:vAlign w:val="bottom"/>
            <w:gridSpan w:val="5"/>
          </w:tcPr>
          <w:p>
            <w:pPr>
              <w:ind w:left="400"/>
              <w:spacing w:after="0"/>
              <w:rPr>
                <w:sz w:val="20"/>
                <w:szCs w:val="20"/>
                <w:color w:val="auto"/>
              </w:rPr>
            </w:pPr>
            <w:r>
              <w:rPr>
                <w:rFonts w:ascii="Arial" w:cs="Arial" w:eastAsia="Arial" w:hAnsi="Arial"/>
                <w:sz w:val="14"/>
                <w:szCs w:val="14"/>
                <w:color w:val="auto"/>
              </w:rPr>
              <w:t>Communications</w:t>
            </w:r>
          </w:p>
        </w:tc>
        <w:tc>
          <w:tcPr>
            <w:tcW w:w="320" w:type="dxa"/>
            <w:vAlign w:val="bottom"/>
          </w:tcPr>
          <w:p>
            <w:pPr>
              <w:spacing w:after="0"/>
              <w:rPr>
                <w:sz w:val="14"/>
                <w:szCs w:val="14"/>
                <w:color w:val="auto"/>
              </w:rPr>
            </w:pPr>
          </w:p>
        </w:tc>
        <w:tc>
          <w:tcPr>
            <w:tcW w:w="780" w:type="dxa"/>
            <w:vAlign w:val="bottom"/>
            <w:gridSpan w:val="3"/>
          </w:tcPr>
          <w:p>
            <w:pPr>
              <w:jc w:val="right"/>
              <w:ind w:right="45"/>
              <w:spacing w:after="0"/>
              <w:rPr>
                <w:sz w:val="20"/>
                <w:szCs w:val="20"/>
                <w:color w:val="auto"/>
              </w:rPr>
            </w:pPr>
            <w:r>
              <w:rPr>
                <w:rFonts w:ascii="Arial" w:cs="Arial" w:eastAsia="Arial" w:hAnsi="Arial"/>
                <w:sz w:val="14"/>
                <w:szCs w:val="14"/>
                <w:color w:val="auto"/>
              </w:rPr>
              <w:t>Solutions</w:t>
            </w:r>
          </w:p>
        </w:tc>
        <w:tc>
          <w:tcPr>
            <w:tcW w:w="1060" w:type="dxa"/>
            <w:vAlign w:val="bottom"/>
            <w:gridSpan w:val="4"/>
          </w:tcPr>
          <w:p>
            <w:pPr>
              <w:ind w:left="400"/>
              <w:spacing w:after="0"/>
              <w:rPr>
                <w:sz w:val="20"/>
                <w:szCs w:val="20"/>
                <w:color w:val="auto"/>
              </w:rPr>
            </w:pPr>
            <w:r>
              <w:rPr>
                <w:rFonts w:ascii="Arial" w:cs="Arial" w:eastAsia="Arial" w:hAnsi="Arial"/>
                <w:sz w:val="14"/>
                <w:szCs w:val="14"/>
                <w:color w:val="auto"/>
                <w:w w:val="92"/>
              </w:rPr>
              <w:t>Residential</w:t>
            </w:r>
          </w:p>
        </w:tc>
        <w:tc>
          <w:tcPr>
            <w:tcW w:w="4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at September 30, 2017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30,886</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$46,693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Acquisitions (See Note 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3"/>
          </w:tcPr>
          <w:p>
            <w:pPr>
              <w:spacing w:after="0"/>
              <w:rPr>
                <w:sz w:val="20"/>
                <w:szCs w:val="20"/>
                <w:color w:val="auto"/>
              </w:rPr>
            </w:pPr>
            <w:r>
              <w:rPr>
                <w:rFonts w:ascii="Arial" w:cs="Arial" w:eastAsia="Arial" w:hAnsi="Arial"/>
                <w:sz w:val="18"/>
                <w:szCs w:val="18"/>
                <w:color w:val="auto"/>
              </w:rPr>
              <w:t>Goodwill at June 30, 2018</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30,931</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8,631</w:t>
            </w: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consist of the following:</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4"/>
                <w:szCs w:val="14"/>
                <w:color w:val="auto"/>
              </w:rPr>
              <w:t>Estimated</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June 30, 2018</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Useful Lives</w:t>
            </w:r>
          </w:p>
        </w:tc>
        <w:tc>
          <w:tcPr>
            <w:tcW w:w="1360" w:type="dxa"/>
            <w:vAlign w:val="bottom"/>
            <w:gridSpan w:val="3"/>
          </w:tcPr>
          <w:p>
            <w:pPr>
              <w:ind w:left="480"/>
              <w:spacing w:after="0" w:line="149" w:lineRule="exact"/>
              <w:rPr>
                <w:sz w:val="20"/>
                <w:szCs w:val="20"/>
                <w:color w:val="auto"/>
              </w:rPr>
            </w:pPr>
            <w:r>
              <w:rPr>
                <w:rFonts w:ascii="Arial" w:cs="Arial" w:eastAsia="Arial" w:hAnsi="Arial"/>
                <w:sz w:val="14"/>
                <w:szCs w:val="14"/>
                <w:color w:val="auto"/>
                <w:w w:val="91"/>
              </w:rPr>
              <w:t>Gross Carrying</w:t>
            </w:r>
          </w:p>
        </w:tc>
        <w:tc>
          <w:tcPr>
            <w:tcW w:w="1260" w:type="dxa"/>
            <w:vAlign w:val="bottom"/>
            <w:gridSpan w:val="3"/>
          </w:tcPr>
          <w:p>
            <w:pPr>
              <w:ind w:left="480"/>
              <w:spacing w:after="0" w:line="149" w:lineRule="exact"/>
              <w:rPr>
                <w:sz w:val="20"/>
                <w:szCs w:val="20"/>
                <w:color w:val="auto"/>
              </w:rPr>
            </w:pPr>
            <w:r>
              <w:rPr>
                <w:rFonts w:ascii="Arial" w:cs="Arial" w:eastAsia="Arial" w:hAnsi="Arial"/>
                <w:sz w:val="14"/>
                <w:szCs w:val="14"/>
                <w:color w:val="auto"/>
                <w:w w:val="93"/>
              </w:rPr>
              <w:t>Accumulated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color w:val="auto"/>
              </w:rPr>
              <w:t>(in Years)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4"/>
                <w:szCs w:val="14"/>
                <w:color w:val="auto"/>
              </w:rPr>
              <w:t>Amount</w:t>
            </w:r>
          </w:p>
        </w:tc>
        <w:tc>
          <w:tcPr>
            <w:tcW w:w="1260" w:type="dxa"/>
            <w:vAlign w:val="bottom"/>
            <w:gridSpan w:val="3"/>
          </w:tcPr>
          <w:p>
            <w:pPr>
              <w:ind w:left="480"/>
              <w:spacing w:after="0"/>
              <w:rPr>
                <w:sz w:val="20"/>
                <w:szCs w:val="20"/>
                <w:color w:val="auto"/>
              </w:rPr>
            </w:pPr>
            <w:r>
              <w:rPr>
                <w:rFonts w:ascii="Arial" w:cs="Arial" w:eastAsia="Arial" w:hAnsi="Arial"/>
                <w:sz w:val="14"/>
                <w:szCs w:val="14"/>
                <w:color w:val="auto"/>
                <w:w w:val="97"/>
              </w:rPr>
              <w:t>Amortization</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2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5 - 20</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Technical library</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6 -15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Backlog</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44,522</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12,786</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31,736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vMerge w:val="restart"/>
          </w:tcPr>
          <w:p>
            <w:pPr>
              <w:jc w:val="right"/>
              <w:ind w:right="413"/>
              <w:spacing w:after="0"/>
              <w:rPr>
                <w:sz w:val="20"/>
                <w:szCs w:val="20"/>
                <w:color w:val="auto"/>
              </w:rPr>
            </w:pPr>
            <w:r>
              <w:rPr>
                <w:rFonts w:ascii="Arial" w:cs="Arial" w:eastAsia="Arial" w:hAnsi="Arial"/>
                <w:sz w:val="18"/>
                <w:szCs w:val="18"/>
                <w:color w:val="auto"/>
              </w:rPr>
              <w:t>19</w:t>
            </w: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93"/>
              </w:rPr>
              <w:t>Estimated</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September 30, 2017</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120" w:type="dxa"/>
            <w:vAlign w:val="bottom"/>
            <w:gridSpan w:val="3"/>
          </w:tcPr>
          <w:p>
            <w:pPr>
              <w:jc w:val="center"/>
              <w:ind w:left="1174"/>
              <w:spacing w:after="0" w:line="149" w:lineRule="exact"/>
              <w:rPr>
                <w:sz w:val="20"/>
                <w:szCs w:val="20"/>
                <w:color w:val="auto"/>
              </w:rPr>
            </w:pPr>
            <w:r>
              <w:rPr>
                <w:rFonts w:ascii="Arial" w:cs="Arial" w:eastAsia="Arial" w:hAnsi="Arial"/>
                <w:sz w:val="14"/>
                <w:szCs w:val="14"/>
                <w:color w:val="auto"/>
                <w:w w:val="96"/>
              </w:rPr>
              <w:t>Useful Lives</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w w:val="93"/>
              </w:rPr>
              <w:t>Gross Carrying</w:t>
            </w:r>
          </w:p>
        </w:tc>
        <w:tc>
          <w:tcPr>
            <w:tcW w:w="1620" w:type="dxa"/>
            <w:vAlign w:val="bottom"/>
            <w:gridSpan w:val="4"/>
          </w:tcPr>
          <w:p>
            <w:pPr>
              <w:ind w:left="540"/>
              <w:spacing w:after="0" w:line="149"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color w:val="auto"/>
                <w:w w:val="92"/>
              </w:rPr>
              <w:t>(in 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Amount</w:t>
            </w:r>
          </w:p>
        </w:tc>
        <w:tc>
          <w:tcPr>
            <w:tcW w:w="1620" w:type="dxa"/>
            <w:vAlign w:val="bottom"/>
            <w:gridSpan w:val="4"/>
          </w:tcPr>
          <w:p>
            <w:pPr>
              <w:ind w:left="540"/>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18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5 - 20</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Technical library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6 - 15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Backlog</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2,412</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40,969</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31,413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discussion of our significant legal matters: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Capstone Construction Claims</w:t>
      </w:r>
    </w:p>
    <w:p>
      <w:pPr>
        <w:spacing w:after="0" w:line="117"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From 2003 to 2005, two of our former subsidiaries performed HVAC and electrical work under contract with Capstone Building Corporation (“Capstone”) on a university student housing project in Texas. In 2005, our subsidiaries filed for arbitration against Capstone, seeking payment for work performed, change orders and other impacts. The parties settled those claims, and the release included a waiver of warranties associated with any of the HVAC work. Several years later, the subsidiaries discontinued operations, and the Company sold their assets.</w:t>
      </w:r>
    </w:p>
    <w:p>
      <w:pPr>
        <w:spacing w:after="0" w:line="171"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On October 24, 2013, Capstone filed a petition in the 12th Judicial District Court of Walker County, Texas against these subsidiaries, among other subcontractors, seeking contribution, defense, indemnity and damages for breach of contract in connection with alleged construction defect claims brought against Capstone by the owner of the student housing project. The owner claimed $10,406 in damages, plus attorneys’ fees and costs against Capstone, which Capstone sought to recover from the subcontractors. The claims against the Company were based on alleged defects in the mechanical design, construction and installation of the HVAC and electrical systems performed by our former subsidiaries.</w:t>
      </w:r>
    </w:p>
    <w:p>
      <w:pPr>
        <w:spacing w:after="0" w:line="173"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Following mediation in June and November 2017, the Company reached an agreement in late December 2017 to settle all claims brought against it. In the nine months ended June 30, 2018, a mutual settlement and release agreement was executed by the plaintiffs and the Company resulting in a charge and payment by the Company of $200.</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USAMRIID Claim</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 xml:space="preserve">On December 6, 2017, IES Commercial, Inc. filed suit in the United States District Court of Maryland in the matter </w:t>
      </w:r>
      <w:r>
        <w:rPr>
          <w:rFonts w:ascii="Arial" w:cs="Arial" w:eastAsia="Arial" w:hAnsi="Arial"/>
          <w:sz w:val="17"/>
          <w:szCs w:val="17"/>
          <w:i w:val="1"/>
          <w:iCs w:val="1"/>
          <w:color w:val="auto"/>
        </w:rPr>
        <w:t>USA for the use and benefit of IES</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 Inc. and IES Commercial, Inc. v. Manhattan Construction Co., Torcon, Inc., Manhattan Torcon A Joint Venture, Federal Ins. Co., Fidelity &amp; Deposit Co. of Maryland, Zurich American Ins. Co., and Travelers Casualty &amp; Surety Co</w:t>
      </w:r>
      <w:r>
        <w:rPr>
          <w:rFonts w:ascii="Arial" w:cs="Arial" w:eastAsia="Arial" w:hAnsi="Arial"/>
          <w:sz w:val="17"/>
          <w:szCs w:val="17"/>
          <w:color w:val="auto"/>
        </w:rPr>
        <w:t>. This suit relates to a large project which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since 2009 and was scheduled for completion in early 2013. As the Company has previously disclosed, the Company entered into a subcontract in 2009 with Manhattan Torcon A Joint Venture to perform subcontracting services at the U.S. Army Medical Research Institute for Infectious Diseases (“USAMRIID”) replacement facility project for a contract value of approximately $61,146, subject to additions or deductions. Because of delays on the project and additional work the Company performed, the Company has sought approximately $21,000 for claims incurred as of August 31, 2017, and expects to seek an additional approximate $4,500 for claims the Company expects to incur from August 31, 2017, through completion of the project. On January 22, 2018, the defendants in this matter filed a motion to dismiss the suit, and on February 2, 2018, we filed our response. We are awaiting a decision on this matter.</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color w:val="auto"/>
        </w:rPr>
        <w:t>Given the uncertainty litigation poses, the Company has not recorded any recovery in connection with this claim. There can be no assurance that the Company will prevail in this litigation matter or that, if the Company does prevail, it will not receive a significantly lower award.</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Risk-Management</w:t>
      </w:r>
    </w:p>
    <w:p>
      <w:pPr>
        <w:spacing w:after="0" w:line="117"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June 30, 2018, and September 30, 2017, we had $6,856 and $6,204, respectively, accrued for self-insurance liabilities. We are also subject to construction defect liabilities, primarily within our Residential segment. As of June 30, 2018, and September 30, 2017, we had $179 and $218,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69"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2018, and September 30, 2017, $6,420 and $5,985, respectively, of our outstanding letters of credit was utilized to collateralize our insurance program.</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As of June 30, 2018, the estimated cost to complete our bonded projects was approximately $61,325.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credit facility.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both June 30, 2018, and September 30, 2017, $508 of our outstanding letters of credit were to collateralize our vendors.</w:t>
      </w:r>
    </w:p>
    <w:p>
      <w:pPr>
        <w:spacing w:after="0" w:line="1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2018, we had no such commitments.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BUSINESS COMBINATIONS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2018</w:t>
      </w:r>
    </w:p>
    <w:p>
      <w:pPr>
        <w:spacing w:after="0" w:line="22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 completed one acquisition in the nine months ended June 30, 2018, for a total consideration of $6,179, which includes cash consideration paid at close of $5,806, cash consideration remaining to be paid of $125, and contingent consideration payable in July 2019 and 2020 with aggregate acquisition date fair value estimated at of $248.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060" w:right="100" w:hanging="316"/>
        <w:spacing w:after="0" w:line="25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Azimuth Communications, Inc. (“Azimuth”) – On April 6, 2018, the Company acquired all of the outstanding capital stock of Azimuth, a Portland, Oregon-based provider of design and integration services for structured cabling, physical security, access control systems, distributed antenna systems, wireless access, and audio visual systems. Azimuth operates within the Company’s Communications segment. The acquisition of Azimuth has accelerated our expansion into the Pacific Northwest market, which the Company believes to be an attractive market.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ind w:left="200" w:right="700"/>
        <w:spacing w:after="0" w:line="264" w:lineRule="auto"/>
        <w:rPr>
          <w:sz w:val="20"/>
          <w:szCs w:val="20"/>
          <w:color w:val="auto"/>
        </w:rPr>
      </w:pPr>
      <w:r>
        <w:rPr>
          <w:rFonts w:ascii="Arial" w:cs="Arial" w:eastAsia="Arial" w:hAnsi="Arial"/>
          <w:sz w:val="18"/>
          <w:szCs w:val="18"/>
          <w:color w:val="auto"/>
        </w:rPr>
        <w:t>The Company completed three acquisitions in the year ended September 30, 2017, for a total aggregate consideration of $20,979. See Note 18, “Business Combinations and Divestitures” in our Annual Report on Form 10-K for the year ended September 30, 2017, for further information.</w:t>
      </w:r>
    </w:p>
    <w:p>
      <w:pPr>
        <w:spacing w:after="0" w:line="87" w:lineRule="exact"/>
        <w:rPr>
          <w:sz w:val="20"/>
          <w:szCs w:val="20"/>
          <w:color w:val="auto"/>
        </w:rPr>
      </w:pPr>
    </w:p>
    <w:p>
      <w:pPr>
        <w:ind w:left="1060" w:right="20" w:hanging="316"/>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Freeman Enclosure Systems, LLC (“Freeman”) – We acquired 100% of the membership interests and associated real estate of Freeman and its affiliate Strategic Edge LLC on March 16, 2017. Strategic Edge LLC was subsequently merged into Freeman, with Freeman as the surviving entity. Freeman is included in our Infrastructure Solutions segment. Freeman’s ability to manufacture custom generator enclosures has expanded our solutions offering.</w:t>
      </w:r>
    </w:p>
    <w:p>
      <w:pPr>
        <w:spacing w:after="0" w:line="92" w:lineRule="exact"/>
        <w:rPr>
          <w:rFonts w:ascii="Arial" w:cs="Arial" w:eastAsia="Arial" w:hAnsi="Arial"/>
          <w:sz w:val="18"/>
          <w:szCs w:val="18"/>
          <w:color w:val="auto"/>
        </w:rPr>
      </w:pPr>
    </w:p>
    <w:p>
      <w:pPr>
        <w:ind w:left="1060" w:right="40" w:hanging="316"/>
        <w:spacing w:after="0" w:line="297"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Technical Services II, LLC (“Technical Services”) – STR Mechanical, our 80% owned subsidiary which is consolidated, acquired all of the membership interests of Technical Services, a Chesapeake, Virginia-based provider of mechanical maintenance services, including commercial heating, ventilation and air conditioning, food service equipment, electrical and plumbing services, on June 15, 2017. Technical Services operates as a subsidiary of STR Mechanical within the Company’s Commercial &amp; Industrial segment. The acquisition of Technical Services has expanded our geographic reach and diversified our customer base for mechanical maintenance services.</w:t>
      </w:r>
    </w:p>
    <w:p>
      <w:pPr>
        <w:spacing w:after="0" w:line="63" w:lineRule="exact"/>
        <w:rPr>
          <w:rFonts w:ascii="Arial" w:cs="Arial" w:eastAsia="Arial" w:hAnsi="Arial"/>
          <w:sz w:val="16"/>
          <w:szCs w:val="16"/>
          <w:color w:val="auto"/>
        </w:rPr>
      </w:pPr>
    </w:p>
    <w:p>
      <w:pPr>
        <w:ind w:left="1060" w:right="740" w:hanging="316"/>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NEXT Electric, LLC (“NEXT”) – On July 14, 2017, the Company acquired 80% of the membership interests of NEXT Electric, a Milwaukee, Wisconsin-based electrical contractor specializing in the design, installation and maintenance of electrical systems for commercial, industrial, healthcare, water treatment and education end markets. NEXT Electric operates within the Company’s Commercial &amp; Industrial segment.</w:t>
      </w:r>
    </w:p>
    <w:p>
      <w:pPr>
        <w:spacing w:after="0" w:line="18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total purchase consideration for the Freeman, Technical Services and Azimuth acquisitions included contingent consideration payments based on the acquired company’s earnings, as defined in the applicable purchase and sale agreement. The fair value of the total contingent consideration liability for all acquisitions, including Freeman and Technical Services, was estimated at $795 at June 30, 2018, and is included in other current liabilities and other non-current liabilities on our Condensed Consolidated Balance Sheets.</w:t>
      </w:r>
    </w:p>
    <w:p>
      <w:pPr>
        <w:spacing w:after="0" w:line="18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Company accounted for the transactions under the acquisition method of accounting, which requires recording assets and liabilities at fair value (Level 3). The valuations derived from estimated fair value assessments and assumptions used by management are preliminary pending finalization of certain tangible and intangible asset valuations and assessment of deferred taxes. While management believes that its preliminary estimates and assumptions underlying the valuations are reasonable, different estimates and assumptions could result in different values being assigned to individual assets acquired and liabilities assumed. This may result in adjustments to the preliminary amounts recorded. The preliminary estimates for Freeman, Technical Services and NEXT Electric were finalized during the nine months ended June 30, 2018. The preliminary valuation of the assets and liabilities assumed as of the acquisition of Azimuth is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$ 1,765</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(primarily customer relationships)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Long term liabilities</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$ 6,179</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spacing w:after="0" w:line="308" w:lineRule="auto"/>
        <w:rPr>
          <w:sz w:val="20"/>
          <w:szCs w:val="20"/>
          <w:color w:val="auto"/>
        </w:rPr>
      </w:pPr>
      <w:r>
        <w:rPr>
          <w:rFonts w:ascii="Arial" w:cs="Arial" w:eastAsia="Arial" w:hAnsi="Arial"/>
          <w:sz w:val="17"/>
          <w:szCs w:val="17"/>
          <w:color w:val="auto"/>
        </w:rPr>
        <w:t>With regard to goodwill, the balance is attributable to the workforce of the acquired business and other intangibles that do not qualify for separate recognition. In connection with the Azimuth acquisition, we acquired goodwill of $2,561, of which $59 is tax deductible.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IES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 Amounts in Thousands Except Share Amounts)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Azimuth acquisition contributed $2,474 in additional revenue and $284 in operating loss during the three and nine months ended June 30, 2018.</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Unaudited Pro Forma Information</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following unaudited supplemental pro forma results of operations, calculated as if each acquisition occurred as of October 1 of the fiscal year prior to consummation, for the three and nine months ended June 30, 2018, and 2017, are as follows: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left="420"/>
              <w:spacing w:after="0"/>
              <w:rPr>
                <w:sz w:val="20"/>
                <w:szCs w:val="20"/>
                <w:color w:val="auto"/>
              </w:rPr>
            </w:pPr>
            <w:r>
              <w:rPr>
                <w:rFonts w:ascii="Arial" w:cs="Arial" w:eastAsia="Arial" w:hAnsi="Arial"/>
                <w:sz w:val="14"/>
                <w:szCs w:val="14"/>
                <w:color w:val="auto"/>
                <w:w w:val="93"/>
              </w:rPr>
              <w:t>Unaudited</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8"/>
          </w:tcPr>
          <w:p>
            <w:pPr>
              <w:jc w:val="center"/>
              <w:ind w:right="100"/>
              <w:spacing w:after="0" w:line="149" w:lineRule="exact"/>
              <w:rPr>
                <w:sz w:val="20"/>
                <w:szCs w:val="20"/>
                <w:color w:val="auto"/>
              </w:rPr>
            </w:pPr>
            <w:r>
              <w:rPr>
                <w:rFonts w:ascii="Arial" w:cs="Arial" w:eastAsia="Arial" w:hAnsi="Arial"/>
                <w:sz w:val="14"/>
                <w:szCs w:val="14"/>
                <w:color w:val="auto"/>
                <w:w w:val="92"/>
              </w:rPr>
              <w:t>Three Months Ended June 30,</w:t>
            </w:r>
          </w:p>
        </w:tc>
      </w:tr>
      <w:tr>
        <w:trPr>
          <w:trHeight w:val="167"/>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232,576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220,088</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 attributable to IES Holdings, Inc.</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8,577</w:t>
            </w:r>
          </w:p>
        </w:tc>
        <w:tc>
          <w:tcPr>
            <w:tcW w:w="200" w:type="dxa"/>
            <w:vAlign w:val="bottom"/>
          </w:tcPr>
          <w:p>
            <w:pPr>
              <w:spacing w:after="0"/>
              <w:rPr>
                <w:sz w:val="20"/>
                <w:szCs w:val="20"/>
                <w:color w:val="auto"/>
              </w:rPr>
            </w:pPr>
          </w:p>
        </w:tc>
        <w:tc>
          <w:tcPr>
            <w:tcW w:w="3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5,252</w:t>
            </w:r>
          </w:p>
        </w:tc>
        <w:tc>
          <w:tcPr>
            <w:tcW w:w="40" w:type="dxa"/>
            <w:vAlign w:val="bottom"/>
          </w:tcPr>
          <w:p>
            <w:pPr>
              <w:spacing w:after="0"/>
              <w:rPr>
                <w:sz w:val="20"/>
                <w:szCs w:val="20"/>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5"/>
          </w:tcPr>
          <w:p>
            <w:pPr>
              <w:jc w:val="center"/>
              <w:ind w:left="460"/>
              <w:spacing w:after="0"/>
              <w:rPr>
                <w:sz w:val="20"/>
                <w:szCs w:val="20"/>
                <w:color w:val="auto"/>
              </w:rPr>
            </w:pPr>
            <w:r>
              <w:rPr>
                <w:rFonts w:ascii="Arial" w:cs="Arial" w:eastAsia="Arial" w:hAnsi="Arial"/>
                <w:sz w:val="14"/>
                <w:szCs w:val="14"/>
                <w:color w:val="auto"/>
                <w:w w:val="93"/>
              </w:rPr>
              <w:t>Unaudited</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tcPr>
          <w:p>
            <w:pPr>
              <w:jc w:val="center"/>
              <w:ind w:right="140"/>
              <w:spacing w:after="0" w:line="149" w:lineRule="exact"/>
              <w:rPr>
                <w:sz w:val="20"/>
                <w:szCs w:val="20"/>
                <w:color w:val="auto"/>
              </w:rPr>
            </w:pPr>
            <w:r>
              <w:rPr>
                <w:rFonts w:ascii="Arial" w:cs="Arial" w:eastAsia="Arial" w:hAnsi="Arial"/>
                <w:sz w:val="14"/>
                <w:szCs w:val="14"/>
                <w:color w:val="auto"/>
                <w:w w:val="93"/>
              </w:rPr>
              <w:t>Nine Months Ended June 30,</w:t>
            </w:r>
          </w:p>
        </w:tc>
      </w:tr>
      <w:tr>
        <w:trPr>
          <w:trHeight w:val="167"/>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642,167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654,251</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 (loss) attributable to IES Holdings, Inc.</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(19,452)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8,498</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On July 23, 2018, we entered into the Third Amendment to our Second Amended and Restated Credit and Security Agreement (as amended, the “Credit Agreement”). See Note 3, “Debt” for further discussion.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 xml:space="preserve">The following discussion and analysis should be read in conjunction with our Consolidated Financial Statements and the notes thereto, set forth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as set forth in our Annual Report on Form 10-K for the year ended September 30, 2017, and the Condensed Consolidated Financial Statements and notes thereto included in Part I of this Quarterly Report on Form 10-Q. The following discussion may contain forward looking statements. For additional information, see </w:t>
      </w:r>
      <w:r>
        <w:rPr>
          <w:rFonts w:ascii="Arial" w:cs="Arial" w:eastAsia="Arial" w:hAnsi="Arial"/>
          <w:sz w:val="18"/>
          <w:szCs w:val="18"/>
          <w:i w:val="1"/>
          <w:iCs w:val="1"/>
          <w:color w:val="auto"/>
        </w:rPr>
        <w:t>“Disclosure Regarding Forward Looking Statements”</w:t>
      </w:r>
      <w:r>
        <w:rPr>
          <w:rFonts w:ascii="Arial" w:cs="Arial" w:eastAsia="Arial" w:hAnsi="Arial"/>
          <w:sz w:val="18"/>
          <w:szCs w:val="18"/>
          <w:color w:val="auto"/>
        </w:rPr>
        <w:t xml:space="preserve"> in Part I of this Quarterly Report on Form 10-Q.</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OVERVIEW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 xml:space="preserve">Please refer to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of our Annual Report on Form 10-K for the year ended September 30, 2017, for a discussion of the Company’s services and corporate strategy. IES Holdings, Inc., a Delaware corporation, is a holding company that owns and manages operating subsidiaries, comprised of providers of industrial products and infrastructure services, to a variety of end markets. Our operations are currently organized into four principal business segments: Commercial &amp; Industrial, Communications, Infrastructure Solutions and Residential.</w:t>
      </w: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report our operating results across our four operating segments: Commercial &amp; Industrial, Communications, Infrastructure Solutions and Residential. Expenses associated with our corporate office are classified separately. The following tables present selected historical results of operations of IES, as well as the results of acquired businesses from the dates acquired.</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2"/>
              </w:rPr>
              <w:t>Three Months Ended 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gridSpan w:val="3"/>
          </w:tcPr>
          <w:p>
            <w:pPr>
              <w:jc w:val="right"/>
              <w:ind w:right="55"/>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80" w:type="dxa"/>
            <w:vAlign w:val="bottom"/>
            <w:gridSpan w:val="9"/>
          </w:tcPr>
          <w:p>
            <w:pPr>
              <w:jc w:val="right"/>
              <w:ind w:right="271"/>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$232,576</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$208,323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190,039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172,925</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32,372</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30,771</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Gain on sale of assets</w:t>
            </w:r>
          </w:p>
        </w:tc>
        <w:tc>
          <w:tcPr>
            <w:tcW w:w="16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(55)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ind w:left="340"/>
              <w:spacing w:after="0"/>
              <w:rPr>
                <w:sz w:val="20"/>
                <w:szCs w:val="20"/>
                <w:color w:val="auto"/>
              </w:rPr>
            </w:pPr>
            <w:r>
              <w:rPr>
                <w:rFonts w:ascii="Arial" w:cs="Arial" w:eastAsia="Arial" w:hAnsi="Arial"/>
                <w:sz w:val="18"/>
                <w:szCs w:val="18"/>
                <w:color w:val="auto"/>
              </w:rPr>
              <w:t>Interest and other (income) expense, net</w:t>
            </w:r>
          </w:p>
        </w:tc>
        <w:tc>
          <w:tcPr>
            <w:tcW w:w="1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(1,519)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1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vMerge w:val="continue"/>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IES Holdings,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8,516</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5,868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Consolidated revenues for the three months ended June 30, 2018, were $24.3 million higher than for the three months ended June 30, 2017, an increase of 11.6%, with increases at our Commercial &amp; Industrial, Infrastructure Solutions and Residential segments. Revenues at our businesses acquired in fiscal 2017 and 2018 contributed $17.3 million to the revenue increase, partly offset by a $6.3 million decrease at two underperforming branches within our Commercial &amp; Industrial segment, which are in the process of winding down operations.</w:t>
      </w:r>
    </w:p>
    <w:p>
      <w:pPr>
        <w:spacing w:after="0" w:line="171" w:lineRule="exact"/>
        <w:rPr>
          <w:sz w:val="20"/>
          <w:szCs w:val="20"/>
          <w:color w:val="auto"/>
        </w:rPr>
      </w:pPr>
    </w:p>
    <w:p>
      <w:pPr>
        <w:jc w:val="both"/>
        <w:ind w:left="200" w:right="220"/>
        <w:spacing w:after="0" w:line="312" w:lineRule="auto"/>
        <w:rPr>
          <w:sz w:val="20"/>
          <w:szCs w:val="20"/>
          <w:color w:val="auto"/>
        </w:rPr>
      </w:pPr>
      <w:r>
        <w:rPr>
          <w:rFonts w:ascii="Arial" w:cs="Arial" w:eastAsia="Arial" w:hAnsi="Arial"/>
          <w:sz w:val="16"/>
          <w:szCs w:val="16"/>
          <w:color w:val="auto"/>
        </w:rPr>
        <w:t>Consolidated gross profit for the three months ended June 30, 2018, increased $7.1 million compared with the three months ended June 30, 2017. Our overall gross profit percentage increased to 18.3% during the three months ended June 30, 2018, as compared to 17.0% during the three months ended June 30, 2017. Gross profit as a percentage of revenue increased at all of our segments, with the exception of our Residential segment.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8" w:lineRule="auto"/>
        <w:rPr>
          <w:sz w:val="20"/>
          <w:szCs w:val="20"/>
          <w:color w:val="auto"/>
        </w:rPr>
      </w:pPr>
      <w:r>
        <w:rPr>
          <w:rFonts w:ascii="Arial" w:cs="Arial" w:eastAsia="Arial" w:hAnsi="Arial"/>
          <w:sz w:val="18"/>
          <w:szCs w:val="18"/>
          <w:color w:val="auto"/>
        </w:rPr>
        <w:t>Selling, general and administrative expenses include costs not directly associated with performing work for our customers. These costs consist primarily of compensation and benefits related to corporate, segment and branch management (including incentive-based</w:t>
      </w:r>
    </w:p>
    <w:p>
      <w:pPr>
        <w:spacing w:after="0" w:line="1" w:lineRule="exact"/>
        <w:rPr>
          <w:sz w:val="20"/>
          <w:szCs w:val="20"/>
          <w:color w:val="auto"/>
        </w:rPr>
      </w:pPr>
    </w:p>
    <w:p>
      <w:pPr>
        <w:ind w:left="200" w:right="540"/>
        <w:spacing w:after="0" w:line="255" w:lineRule="auto"/>
        <w:rPr>
          <w:sz w:val="20"/>
          <w:szCs w:val="20"/>
          <w:color w:val="auto"/>
        </w:rPr>
      </w:pPr>
      <w:r>
        <w:rPr>
          <w:rFonts w:ascii="Arial" w:cs="Arial" w:eastAsia="Arial" w:hAnsi="Arial"/>
          <w:sz w:val="18"/>
          <w:szCs w:val="18"/>
          <w:color w:val="auto"/>
        </w:rPr>
        <w:t>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9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During the three months ended June 30, 2018, our selling, general and administrative expenses were $32.4 million, an increase of $1.6 million, or 5.2%, over the three months ended June 30, 2017. Selling, general and administrative expense as a percent of revenue decreased from 14.8% for the three months ended June 30, 2017, to 13.9% for the three months ended June 30, 2018. This decrease was primarily attributable to lower variable compensation and incentive costs. Businesses acquired during fiscal 2017 and 2018 contributed an additional $1.9 million for the three months June 30, 2018.</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5"/>
              </w:rPr>
              <w:t>Nine Months Ended June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gridSpan w:val="3"/>
          </w:tcPr>
          <w:p>
            <w:pPr>
              <w:jc w:val="right"/>
              <w:ind w:right="54"/>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60" w:type="dxa"/>
            <w:vAlign w:val="bottom"/>
            <w:gridSpan w:val="9"/>
          </w:tcPr>
          <w:p>
            <w:pPr>
              <w:jc w:val="right"/>
              <w:ind w:right="251"/>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$636,553</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$604,163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Cost of services</w:t>
            </w:r>
          </w:p>
        </w:tc>
        <w:tc>
          <w:tcPr>
            <w:tcW w:w="1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501,769</w:t>
            </w:r>
          </w:p>
        </w:tc>
        <w:tc>
          <w:tcPr>
            <w:tcW w:w="3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102,394</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92,108</w:t>
            </w: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89,085</w:t>
            </w:r>
          </w:p>
        </w:tc>
        <w:tc>
          <w:tcPr>
            <w:tcW w:w="3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Gain on sale of assets</w:t>
            </w:r>
          </w:p>
        </w:tc>
        <w:tc>
          <w:tcPr>
            <w:tcW w:w="1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340"/>
              <w:spacing w:after="0"/>
              <w:rPr>
                <w:sz w:val="20"/>
                <w:szCs w:val="20"/>
                <w:color w:val="auto"/>
              </w:rPr>
            </w:pPr>
            <w:r>
              <w:rPr>
                <w:rFonts w:ascii="Arial" w:cs="Arial" w:eastAsia="Arial" w:hAnsi="Arial"/>
                <w:sz w:val="18"/>
                <w:szCs w:val="18"/>
                <w:color w:val="auto"/>
              </w:rPr>
              <w:t>Interest and other (income) expense, net</w:t>
            </w:r>
          </w:p>
        </w:tc>
        <w:tc>
          <w:tcPr>
            <w:tcW w:w="1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5"/>
                <w:szCs w:val="15"/>
                <w:color w:val="auto"/>
              </w:rPr>
              <w:t>(1)</w:t>
            </w:r>
          </w:p>
        </w:tc>
        <w:tc>
          <w:tcPr>
            <w:tcW w:w="1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1,792</w:t>
            </w:r>
          </w:p>
        </w:tc>
        <w:tc>
          <w:tcPr>
            <w:tcW w:w="3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(18,577)</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1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IES Holdings, Inc.</w:t>
            </w:r>
          </w:p>
        </w:tc>
        <w:tc>
          <w:tcPr>
            <w:tcW w:w="2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(18,832)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$ 10,276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2018 includes a charge of $31.5 million to re-measure our net deferred tax assets in connection with the Tax Cuts and Jobs Act.</w:t>
      </w:r>
    </w:p>
    <w:p>
      <w:pPr>
        <w:spacing w:after="0" w:line="225"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Consolidated revenues for the nine months ended June 30, 2018 were $32.4 million higher than for the nine months ended June 30, 2017, an increase of 5.4%, with increases at all of our operating segments with the exception of our Communications segment. Revenues from our businesses acquired in fiscal 2017 and 2018 contributed $44.6 million of the revenue increase for the nine months ended June 30, 2018, largely offset by a $19.0 million decrease in revenue at the Denver and Roanoke branches of our Commercial &amp; Industrial segment, which are in the process of winding down operations.</w:t>
      </w:r>
    </w:p>
    <w:p>
      <w:pPr>
        <w:spacing w:after="0" w:line="188"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Our overall gross profit percentage increased to 17.2% during the nine months ended June 30, 2018, as compared to 16.9% during the nine months ended June 30, 2017. Businesses acquired in fiscal 2017 and 2018, contributed an additional $5.9 million of gross profit for the nine months ended June 30, 2018, as compared with the nine months ended June 30, 2017. However, this increase was largely offset by a decrease in margin associated with higher materials costs in our Residential segment.</w:t>
      </w:r>
    </w:p>
    <w:p>
      <w:pPr>
        <w:spacing w:after="0" w:line="18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During the nine months ended June 30, 2018, our selling, general and administrative expenses were $92.1 million, an increase of $3.0 million, or 3.4%, over the nine months ended June 30, 2017. This increase was primarily attributable to expense incurred at businesses acquired during fiscal 2017 and 2018, which contributed $4.9 million of the increase for the nine months ended June 30, 2018. This increase was partly offset by a reduction in variable compensation expense.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 &amp; Industrial</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color w:val="auto"/>
              </w:rPr>
              <w:t>Three Months 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340" w:type="dxa"/>
            <w:vAlign w:val="bottom"/>
            <w:gridSpan w:val="8"/>
          </w:tcPr>
          <w:p>
            <w:pPr>
              <w:jc w:val="right"/>
              <w:ind w:right="233"/>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$78,156</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$58,778</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services</w:t>
            </w:r>
          </w:p>
        </w:tc>
        <w:tc>
          <w:tcPr>
            <w:tcW w:w="1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67,839</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86.8%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54,174</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6,980</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4,849</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7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gridSpan w:val="2"/>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3,343</w:t>
            </w:r>
          </w:p>
        </w:tc>
        <w:tc>
          <w:tcPr>
            <w:tcW w:w="3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3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 our Commercial &amp; Industrial segment increased $19.4 million, or 33.0%, during the three months ended June 30, 2018,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June 30, 2017. The increase was largely driven by revenues at businesses acquired in the third and fourth quarters of fiscal 2017, which contributed an additional $13.5 million during the three months ended June 30, 2018, compared to the three months ended June 30, 2017. Additionally, increased bid volume at several of our branches and improving market conditions in certain areas also contributed to the overall increase in revenues. These increases were offset by a $6.3 million decrease relating to our Denver and Roanoke branches, which are in the process of winding down operations. The market for this segment’s services remains highly competitive.</w:t>
      </w:r>
    </w:p>
    <w:p>
      <w:pPr>
        <w:spacing w:after="0" w:line="17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Commercial &amp; Industrial segment’s gross profit during the three months ended June 30, 2018, increased by $5.7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June 30, 2017. The increase is due to both the $1.5 million reduction in losses at our Denver and Roanoke branches, which are in the process of winding down operations, and $1.8 million of additional gross profit contributed by our fiscal 2017 acquisitions during the three months ended June 30, 2018, compared to the three months ended June 30, 2017. Improved efficiency across other branches drove the remaining increase.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Commercial &amp; Industrial segment’s selling, general and administrative expenses during the three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months ended June 30, 2018, increased $2.1 million, or 44.0%, compared to the three months ended June 30, 2017. Selling, general and administrative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expenses as a percentage of revenues increased 0.7% to 8.9% during the three months ended June 30, 2018, compared to the three months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June 30, 2017. The increase relates primarily to our fiscal 2017 acquisitions, which increased expense by $1.2 million. The remaining increase is driven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costs associated with additional management oversight, as well as higher incentive compensation cost in connection with improved profitability.</w:t>
      </w:r>
    </w:p>
    <w:p>
      <w:pPr>
        <w:spacing w:after="0" w:line="22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following table summarizes the results of our Denver and Roanoke branches, which are in the process of winding down operations. These results are included in the consolidated Commercial &amp; Industrial results shown above:</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2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Denver and Roanoke branches</w:t>
            </w:r>
          </w:p>
        </w:tc>
        <w:tc>
          <w:tcPr>
            <w:tcW w:w="1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9"/>
          </w:tcPr>
          <w:p>
            <w:pPr>
              <w:jc w:val="center"/>
              <w:ind w:right="460"/>
              <w:spacing w:after="0"/>
              <w:rPr>
                <w:sz w:val="20"/>
                <w:szCs w:val="20"/>
                <w:color w:val="auto"/>
              </w:rPr>
            </w:pPr>
            <w:r>
              <w:rPr>
                <w:rFonts w:ascii="Arial" w:cs="Arial" w:eastAsia="Arial" w:hAnsi="Arial"/>
                <w:sz w:val="14"/>
                <w:szCs w:val="14"/>
                <w:color w:val="auto"/>
                <w:w w:val="92"/>
              </w:rPr>
              <w:t>Three Months Ended 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6"/>
          </w:tcPr>
          <w:p>
            <w:pPr>
              <w:jc w:val="center"/>
              <w:ind w:right="260"/>
              <w:spacing w:after="0" w:line="142" w:lineRule="exact"/>
              <w:rPr>
                <w:sz w:val="20"/>
                <w:szCs w:val="20"/>
                <w:color w:val="auto"/>
              </w:rPr>
            </w:pPr>
            <w:r>
              <w:rPr>
                <w:rFonts w:ascii="Arial" w:cs="Arial" w:eastAsia="Arial" w:hAnsi="Arial"/>
                <w:sz w:val="14"/>
                <w:szCs w:val="14"/>
                <w:color w:val="auto"/>
                <w:w w:val="91"/>
              </w:rPr>
              <w:t>(In thousands)</w:t>
            </w:r>
          </w:p>
        </w:tc>
        <w:tc>
          <w:tcPr>
            <w:tcW w:w="36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Cost of services</w:t>
            </w: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860"/>
              <w:spacing w:after="0"/>
              <w:rPr>
                <w:sz w:val="20"/>
                <w:szCs w:val="20"/>
                <w:color w:val="auto"/>
              </w:rPr>
            </w:pPr>
            <w:r>
              <w:rPr>
                <w:rFonts w:ascii="Arial" w:cs="Arial" w:eastAsia="Arial" w:hAnsi="Arial"/>
                <w:sz w:val="18"/>
                <w:szCs w:val="18"/>
                <w:color w:val="auto"/>
              </w:rPr>
              <w:t>Operating loss</w:t>
            </w: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center"/>
              <w:ind w:right="480"/>
              <w:spacing w:after="0"/>
              <w:rPr>
                <w:sz w:val="20"/>
                <w:szCs w:val="20"/>
                <w:color w:val="auto"/>
              </w:rPr>
            </w:pPr>
            <w:r>
              <w:rPr>
                <w:rFonts w:ascii="Arial" w:cs="Arial" w:eastAsia="Arial" w:hAnsi="Arial"/>
                <w:sz w:val="14"/>
                <w:szCs w:val="14"/>
                <w:color w:val="auto"/>
                <w:w w:val="93"/>
              </w:rPr>
              <w:t>Nine Months Ended June 30,</w:t>
            </w: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100" w:type="dxa"/>
            <w:vAlign w:val="bottom"/>
            <w:gridSpan w:val="12"/>
          </w:tcPr>
          <w:p>
            <w:pPr>
              <w:jc w:val="center"/>
              <w:ind w:left="338"/>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$168,006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154,628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19,624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w:t>
            </w:r>
          </w:p>
        </w:tc>
        <w:tc>
          <w:tcPr>
            <w:tcW w:w="18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gridSpan w:val="3"/>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(1,045)</w:t>
            </w:r>
          </w:p>
        </w:tc>
        <w:tc>
          <w:tcPr>
            <w:tcW w:w="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80" w:type="dxa"/>
            <w:vAlign w:val="bottom"/>
          </w:tcPr>
          <w:p>
            <w:pPr>
              <w:jc w:val="right"/>
              <w:ind w:right="117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 our Commercial &amp; Industrial segment increased $28.7 million during the nine months ended June 30, 2018, an increase of 17.1%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June 30, 2017. The increase in revenue over this period was driven by our fiscal 2017 acquisitions, which contributed $33.1 million of additional revenue during the nine months ended June 30, 2018 compared to the nine months ended June 30, 2017. This increase in revenue was partly offset by a $19.0 million decrease in revenue attributable to the winding down of operations at our Denver and Roanoke locations for the nine months ended June 30, 2018, as compared with the nine months ended June 30, 2017. Additionally, increased bid volume at several of our branches and improving market conditions in certain areas also contributed to the overall increase in revenues. The market for this segment’s services in many geographic regions remains highly competitive.</w:t>
      </w:r>
    </w:p>
    <w:p>
      <w:pPr>
        <w:spacing w:after="0" w:line="1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Commercial &amp; Industrial segment’s gross profit during the nine months ended June 30, 2018, increased by $8.3 million, or 62.0%,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June 30, 2017. As a percentage of revenue, gross profit increased from 8.0% for the nine months ended June 30, 2017, to 11.0% for the nine months ended June 30, 2018. The increase was driven by $4.9 million of additional gross profit contributed by our fiscal 2017 acquisitions during the nine months ended June 30, 2018, compared to the nine months ended June 30, 2017. Additionally, for the nine months ended June 30, 2018, gross margin improved by $3.6 million compared with the nine months ended June 30, 2017 at our Denver and Roanoke branches, which are in the process of winding down operations.</w:t>
      </w:r>
    </w:p>
    <w:p>
      <w:pPr>
        <w:spacing w:after="0" w:line="193"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Commercial &amp; Industrial segment’s selling, general and administrative expenses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increased $5.2 million, or 36.0%, compared to the nine months ended June 30, 2017, and increased 1.4% as a percentage of revenue. The increase was driven by our fiscal 2017 acquisitions, where selling, general and administrative expense for the nine months ended June 30, 2018, increased by $3.3 million. The remaining increase relates primarily to employee expense associated with management hired to provide additional oversight at the regional and branch levels.</w:t>
      </w:r>
    </w:p>
    <w:p>
      <w:pPr>
        <w:spacing w:after="0" w:line="188"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following table summarizes the results of our Denver and Roanoke branches, which are in the process of winding down operations. These results are included in the consolidated Commercial &amp; Industrial segment results shown above:</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538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Denver and Roanoke branches</w:t>
            </w: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10"/>
          </w:tcPr>
          <w:p>
            <w:pPr>
              <w:spacing w:after="0"/>
              <w:rPr>
                <w:sz w:val="20"/>
                <w:szCs w:val="20"/>
                <w:color w:val="auto"/>
              </w:rPr>
            </w:pPr>
            <w:r>
              <w:rPr>
                <w:rFonts w:ascii="Arial" w:cs="Arial" w:eastAsia="Arial" w:hAnsi="Arial"/>
                <w:sz w:val="14"/>
                <w:szCs w:val="14"/>
                <w:color w:val="auto"/>
              </w:rPr>
              <w:t>Nine Months Ended June 30,</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38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7"/>
          </w:tcPr>
          <w:p>
            <w:pPr>
              <w:ind w:left="160"/>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gridSpan w:val="3"/>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services</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9,096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31,633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380" w:type="dxa"/>
            <w:vAlign w:val="bottom"/>
            <w:gridSpan w:val="2"/>
          </w:tcPr>
          <w:p>
            <w:pPr>
              <w:ind w:left="860"/>
              <w:spacing w:after="0"/>
              <w:rPr>
                <w:sz w:val="20"/>
                <w:szCs w:val="20"/>
                <w:color w:val="auto"/>
              </w:rPr>
            </w:pPr>
            <w:r>
              <w:rPr>
                <w:rFonts w:ascii="Arial" w:cs="Arial" w:eastAsia="Arial" w:hAnsi="Arial"/>
                <w:sz w:val="18"/>
                <w:szCs w:val="18"/>
                <w:color w:val="auto"/>
              </w:rPr>
              <w:t>Operating loss</w:t>
            </w: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(2,047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Communications</w:t>
            </w: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4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color w:val="auto"/>
              </w:rPr>
              <w:t>Three Months Ended June 30,</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3"/>
          </w:tcPr>
          <w:p>
            <w:pPr>
              <w:ind w:left="540"/>
              <w:spacing w:after="0" w:line="142" w:lineRule="exact"/>
              <w:rPr>
                <w:sz w:val="20"/>
                <w:szCs w:val="20"/>
                <w:color w:val="auto"/>
              </w:rPr>
            </w:pPr>
            <w:r>
              <w:rPr>
                <w:rFonts w:ascii="Arial" w:cs="Arial" w:eastAsia="Arial" w:hAnsi="Arial"/>
                <w:sz w:val="14"/>
                <w:szCs w:val="14"/>
                <w:color w:val="auto"/>
              </w:rPr>
              <w:t>2018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right"/>
              <w:ind w:right="8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ind w:left="4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20" w:type="dxa"/>
            <w:vAlign w:val="bottom"/>
            <w:gridSpan w:val="13"/>
          </w:tcPr>
          <w:p>
            <w:pPr>
              <w:ind w:left="260"/>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$54,368</w:t>
            </w: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$57,081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46,958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Communications segment’s revenues decreased by $2.7 million during the three months ended June 30, 2018, primarily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capital spending by certain of our data center customers. These decreases were partly offset by $2.5 million from Azimuth, which we acquired in the three months ended June 30, 2018. Revenues in our Communications segment can vary from quarter to quarter based on the capital spending cycles of our customers.</w:t>
      </w:r>
    </w:p>
    <w:p>
      <w:pPr>
        <w:spacing w:after="0" w:line="18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three months ended June 30, 2018, increased by $0.8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Gross profit as a percentage of revenue increased 2.4% to 20.1% for the three months ended June 30, 2018, primarily as a result of improved project execution.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Communications segment’s selling, general and administrative expenses increased</w:t>
      </w:r>
    </w:p>
    <w:p>
      <w:pPr>
        <w:spacing w:after="0" w:line="23"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by $0.9 million, or 15.0%, during the three months ended June 30, 2018, compared to the three months ended June 30, 2017. Selling, general and administrative expenses as a percentage of revenues in the Communications segment increased 2.2% to 13.2% of segment revenue during the three months ended June 30, 2018, compared to the three months ended June 30, 2017. The increase is a result of higher personnel cost, particularly related to higher incentive compensation expense in connection with improved profitability and cash flows, as well as continuing investment to support anticipated growth.</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color w:val="auto"/>
                <w:w w:val="93"/>
              </w:rPr>
              <w:t>Nine Months Ended 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right"/>
              <w:ind w:right="200"/>
              <w:spacing w:after="0" w:line="142" w:lineRule="exact"/>
              <w:rPr>
                <w:sz w:val="20"/>
                <w:szCs w:val="20"/>
                <w:color w:val="auto"/>
              </w:rPr>
            </w:pPr>
            <w:r>
              <w:rPr>
                <w:rFonts w:ascii="Arial" w:cs="Arial" w:eastAsia="Arial" w:hAnsi="Arial"/>
                <w:sz w:val="14"/>
                <w:szCs w:val="14"/>
                <w:color w:val="auto"/>
              </w:rPr>
              <w:t>2017</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100" w:type="dxa"/>
            <w:vAlign w:val="bottom"/>
            <w:gridSpan w:val="8"/>
          </w:tcPr>
          <w:p>
            <w:pPr>
              <w:jc w:val="right"/>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$159,071</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$172,058</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services</w:t>
            </w:r>
          </w:p>
        </w:tc>
        <w:tc>
          <w:tcPr>
            <w:tcW w:w="1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129,667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144,668</w:t>
            </w:r>
          </w:p>
        </w:tc>
        <w:tc>
          <w:tcPr>
            <w:tcW w:w="4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27,390</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19,478</w:t>
            </w:r>
          </w:p>
        </w:tc>
        <w:tc>
          <w:tcPr>
            <w:tcW w:w="2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18,086</w:t>
            </w:r>
          </w:p>
        </w:tc>
        <w:tc>
          <w:tcPr>
            <w:tcW w:w="4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2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9,935</w:t>
            </w:r>
          </w:p>
        </w:tc>
        <w:tc>
          <w:tcPr>
            <w:tcW w:w="2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9,305</w:t>
            </w:r>
          </w:p>
        </w:tc>
        <w:tc>
          <w:tcPr>
            <w:tcW w:w="4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Communications segment revenues decreased by $13.0 million during the nine months ended June 30, 2018,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$7.9 million of revenue we received in the nine months ended June 30, 2017 on a large system upgrade project for a school district. This project was completed in fiscal 2017. Our revenues for the nine months ended June 30, 2018 were also affected by the timing of capital spending by certain of our data center customers. Revenues in our Communications segment can vary from quarter to quarter based on the capital spending cycles of our customers.</w:t>
      </w:r>
    </w:p>
    <w:p>
      <w:pPr>
        <w:spacing w:after="0" w:line="18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Communications segment’s gross profit during the nine months ended June 30, 2018, increased $2.0 million, or 7.4%,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June 30, 2017. Gross profit as a percentage of revenue increased 2.6% to 18.5% for the nine months ended June 30, 2018. The increase is driven primarily by improved project execution.</w:t>
      </w:r>
    </w:p>
    <w:p>
      <w:pPr>
        <w:spacing w:after="0" w:line="181"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Communications segment’s selling, general and administrative expenses increased $1.4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7.7%, during the nine months ended June 30, 2018, compared to the nine months ended June 30, 2017. Selling, general and administrative expenses as a percentage of revenues in the Communications segment increased by 1.7% to 12.2% of segment revenue during the nine months ended June 30, 2018, compared to the nine months ended June 30, 2017, as a result of the decrease in revenue, as well as continuing investment to support anticipated growth.</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Infrastructure Solutions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color w:val="auto"/>
                <w:w w:val="99"/>
              </w:rPr>
              <w:t>Three Months 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80" w:type="dxa"/>
            <w:vAlign w:val="bottom"/>
            <w:gridSpan w:val="8"/>
          </w:tcPr>
          <w:p>
            <w:pPr>
              <w:jc w:val="right"/>
              <w:ind w:right="212"/>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$22,302</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services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18,701</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17,486</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4,568</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4,958</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(88)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180"/>
        <w:spacing w:after="0" w:line="31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Revenues in our Infrastructure Solutions segment increased $2.6 million during the three months ended June 30, 2018, an increase of 11.5%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June 30, 2017. The increase in revenue was driven primarily by additional revenue of $1.3 million contributed by the acquisition of Freeman Enclosures in the second quarter of fiscal 2017, as well as a $1.0 million increase in revenue at our Technibus facility.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Infrastructure Solutions segment’s gross profit during the three months ended June 30, 2018, increased $1.3 million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2017. Gross profit as a percentage of revenue increased 3.2% to 24.8%. The primary driver of the improvement in margins was our bus duct facility, which was affected in the prior year by production inefficiencies and</w:t>
      </w:r>
    </w:p>
    <w:p>
      <w:pPr>
        <w:ind w:left="200" w:right="60"/>
        <w:spacing w:after="0" w:line="261" w:lineRule="auto"/>
        <w:rPr>
          <w:sz w:val="20"/>
          <w:szCs w:val="20"/>
          <w:color w:val="auto"/>
        </w:rPr>
      </w:pPr>
      <w:r>
        <w:rPr>
          <w:rFonts w:ascii="Arial" w:cs="Arial" w:eastAsia="Arial" w:hAnsi="Arial"/>
          <w:sz w:val="18"/>
          <w:szCs w:val="18"/>
          <w:color w:val="auto"/>
        </w:rPr>
        <w:t>by the impact of the amortization of contract intangibles associated with the acquisition of this business in 2016. Margins are also affected by the mix of work performed.</w:t>
      </w:r>
    </w:p>
    <w:p>
      <w:pPr>
        <w:spacing w:after="0" w:line="184"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Infrastructure Solutions segment’s selling, general and administrative expenses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2018, decreased $0.4 million compared to the three months ended June 30, 2017. This decrease was the result of a $0.5 million decrease in amortization expense related to intangible assets recorded in connection with the acquisitions of Freeman and Technibus.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color w:val="auto"/>
              </w:rPr>
              <w:t>Nine Months 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gridSpan w:val="2"/>
          </w:tcPr>
          <w:p>
            <w:pPr>
              <w:jc w:val="right"/>
              <w:ind w:right="17"/>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80" w:type="dxa"/>
            <w:vAlign w:val="bottom"/>
            <w:gridSpan w:val="8"/>
          </w:tcPr>
          <w:p>
            <w:pPr>
              <w:jc w:val="right"/>
              <w:ind w:right="212"/>
              <w:spacing w:after="0" w:line="142" w:lineRule="exact"/>
              <w:rPr>
                <w:sz w:val="20"/>
                <w:szCs w:val="20"/>
                <w:color w:val="auto"/>
              </w:rPr>
            </w:pPr>
            <w:r>
              <w:rPr>
                <w:rFonts w:ascii="Arial" w:cs="Arial" w:eastAsia="Arial" w:hAnsi="Arial"/>
                <w:sz w:val="14"/>
                <w:szCs w:val="14"/>
                <w:color w:val="auto"/>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$70,407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$59,572</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services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54,543</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45,103</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13,762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13,280</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Revenues in our Infrastructure Solutions segment increased $10.8 million during the nine months ended June 30, 2018, an increase of 18.2%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June 30, 2017. The increase was primarily driven by $9.0 million of additional revenue contributed by Freeman Enclosures, which we acquired during the second quarter of fiscal 2017. A $3.6 million increase in revenues from the manufacture of bus duct was offset by a decrease in revenue from our motor repair business, which remains highly dependent on the steel industry.</w:t>
      </w:r>
    </w:p>
    <w:p>
      <w:pPr>
        <w:spacing w:after="0" w:line="171" w:lineRule="exact"/>
        <w:rPr>
          <w:sz w:val="20"/>
          <w:szCs w:val="20"/>
          <w:color w:val="auto"/>
        </w:rPr>
      </w:pPr>
    </w:p>
    <w:p>
      <w:pPr>
        <w:jc w:val="both"/>
        <w:ind w:left="200" w:right="60"/>
        <w:spacing w:after="0" w:line="30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Infrastructure Solutions segment’s gross profit during the nine months ended June 30, 2018, increased $1.4 million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June 30, 2017. Gross profit as a percentage of revenues decreased 1.8% to 22.5% for the nine months ended June 30, 2018. Margins improved year over year at both our bus duct manufacturing business and our motor repair business. However, our overall gross margin was affected by the mix of work performed, as lower margin work at Freeman represented a larger percentage of our total revenues.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Infrastructure Solutions segment’s selling, general and administrative expenses during the nine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months ended June 30, 2018, increased $0.5 million compared to the nine months ended June 30, 2017. The increase was primarily the result of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$0.5 million increase in general and administrative costs incurred at Freeman Enclosures, which was acquired during the second quarter of fiscal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well as $0.5 million in additional selling and administrative costs in support of growth of the business. These increases were partly offset by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decrease in intangible amortization expense related to the acquisition of Technibus in 2016.</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Residential</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color w:val="auto"/>
                <w:w w:val="91"/>
              </w:rPr>
              <w:t>Three Months 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20" w:type="dxa"/>
            <w:vAlign w:val="bottom"/>
            <w:gridSpan w:val="2"/>
          </w:tcPr>
          <w:p>
            <w:pPr>
              <w:jc w:val="right"/>
              <w:ind w:right="19"/>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220" w:type="dxa"/>
            <w:vAlign w:val="bottom"/>
            <w:gridSpan w:val="8"/>
          </w:tcPr>
          <w:p>
            <w:pPr>
              <w:jc w:val="center"/>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$75,196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$70,162</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services</w:t>
            </w:r>
          </w:p>
        </w:tc>
        <w:tc>
          <w:tcPr>
            <w:tcW w:w="2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60,063</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54,307</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10,941</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11,003</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6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gridSpan w:val="2"/>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4,192</w:t>
            </w:r>
          </w:p>
        </w:tc>
        <w:tc>
          <w:tcPr>
            <w:tcW w:w="3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6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4,815</w:t>
            </w:r>
          </w:p>
        </w:tc>
        <w:tc>
          <w:tcPr>
            <w:tcW w:w="3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20" w:type="dxa"/>
            <w:vAlign w:val="bottom"/>
          </w:tcPr>
          <w:p>
            <w:pPr>
              <w:jc w:val="right"/>
              <w:ind w:right="1470"/>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Residential segment’s revenues increased by $5.0 million during the three months ended June 30, 2018, an increase of 7.2%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June 30, 2017. The increase is driven by our single-family business, where revenues increased by $10.0 million for the three months ended June 30, 2018, compared with the three months ended June 30, 2017. Service and solar revenues increased by $1.3 million for the three months ended June 30, 2018, compared with the same period in the prior year. These increases were partly offset by a $6.2 million decrease in our multi-family business. The quarter ended June 30, 2017, benefitted from a historically high level of backlog, which was the result of project delays in the previous fiscal year. Our current multi-family backlog has returned to a more typical level.</w:t>
      </w:r>
    </w:p>
    <w:p>
      <w:pPr>
        <w:spacing w:after="0" w:line="17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three months ended June 30, 2018, our Residential segment experienced a $0.7 million, or 4.6%, decrease in gross profit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June 30, 2017. The decrease in gross profit was driven primarily by an increase in copper and other commodity prices, as we experienced favorable commodity prices in the quarter ended June 30, 2017, as well as an increase in labor costs, as a result of tightening labor markets. Gross margin as a percentage of revenue decreased 2.5% to 20.1% during the quarter ended June 30, 2018, as compared with the quarter ended June 30, 2017.</w:t>
      </w:r>
    </w:p>
    <w:p>
      <w:pPr>
        <w:spacing w:after="0" w:line="188"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Our Residential segment experienced a $0.1 million, or 0.6%, decrease in selling,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during the three months ended June 30, 2018, compared to the three months ended June 30, 2017, primarily as a result of lower incentive compensation expense in connection with lower profitability. Selling, general and administrative expenses as a percentage of revenues in the Residential segment decreased to 14.5% of segment revenue during the three months ended June 30, 2018, compared to 15.7% in the three months ended June 30, 2017.</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color w:val="auto"/>
                <w:w w:val="93"/>
              </w:rPr>
              <w:t>Nine Months 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gridSpan w:val="3"/>
          </w:tcPr>
          <w:p>
            <w:pPr>
              <w:jc w:val="right"/>
              <w:ind w:right="77"/>
              <w:spacing w:after="0" w:line="142" w:lineRule="exact"/>
              <w:rPr>
                <w:sz w:val="20"/>
                <w:szCs w:val="20"/>
                <w:color w:val="auto"/>
              </w:rPr>
            </w:pPr>
            <w:r>
              <w:rPr>
                <w:rFonts w:ascii="Arial" w:cs="Arial" w:eastAsia="Arial" w:hAnsi="Arial"/>
                <w:sz w:val="14"/>
                <w:szCs w:val="14"/>
                <w:color w:val="auto"/>
              </w:rPr>
              <w:t>2018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60" w:type="dxa"/>
            <w:vAlign w:val="bottom"/>
            <w:gridSpan w:val="9"/>
          </w:tcPr>
          <w:p>
            <w:pPr>
              <w:jc w:val="center"/>
              <w:spacing w:after="0" w:line="142" w:lineRule="exact"/>
              <w:rPr>
                <w:sz w:val="20"/>
                <w:szCs w:val="20"/>
                <w:color w:val="auto"/>
              </w:rPr>
            </w:pPr>
            <w:r>
              <w:rPr>
                <w:rFonts w:ascii="Arial" w:cs="Arial" w:eastAsia="Arial" w:hAnsi="Arial"/>
                <w:sz w:val="14"/>
                <w:szCs w:val="14"/>
                <w:color w:val="auto"/>
                <w:w w:val="91"/>
              </w:rPr>
              <w:t>(Dollars in thousands, Percentage of revenues)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$210,328</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$204,527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services</w:t>
            </w: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167,836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157,370</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47,157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30,995</w:t>
            </w:r>
          </w:p>
        </w:tc>
        <w:tc>
          <w:tcPr>
            <w:tcW w:w="1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32,488</w:t>
            </w: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11,498</w:t>
            </w: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14,635</w:t>
            </w:r>
          </w:p>
        </w:tc>
        <w:tc>
          <w:tcPr>
            <w:tcW w:w="3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Residential segment revenues increased by $5.8 million during the nine months ended June 30, 2018, an increase of 2.8%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June 30, 2017. The increase is driven by our single-family business, where revenues increased by $19.3 million for the nine months ended June 30, 2018, compared with the nine months ended June 30, 2017. Service and solar revenues also increased by $3.4 million for the six months ended June 30, 2018, compared with the same period in the prior year. These increases were partly offset by a decrease in multi-family revenues, which declined by $16.9 million. The nine months ended June 30, 2017, benefitted from a historically high level of backlog, which was the result of project delays in the previous fiscal year. Our current multi-family backlog has returned to a more typical level.</w:t>
      </w:r>
    </w:p>
    <w:p>
      <w:pPr>
        <w:spacing w:after="0" w:line="165"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During the nine months ended June 30, 2018, our Residential segment experienced a $4.7 million, or 9.9%, decrease in gross profit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June 30, 2017. The decrease in gross profit was driven primarily by an increase in copper and other commodity prices, as we experienced favorable commodity prices in the nine months ended June 30, 2017, as well as an increase in labor costs, as a result of tightening labor markets. Gross margin as a percentage of revenue decreased 2.9% to 20.2% during the six months ended June 30, 2018, as compared with the six months ended June 30, 2017.</w:t>
      </w:r>
    </w:p>
    <w:p>
      <w:pPr>
        <w:spacing w:after="0" w:line="188" w:lineRule="exact"/>
        <w:rPr>
          <w:sz w:val="20"/>
          <w:szCs w:val="20"/>
          <w:color w:val="auto"/>
        </w:rPr>
      </w:pPr>
    </w:p>
    <w:p>
      <w:pPr>
        <w:ind w:left="200" w:right="540"/>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Residential segment experienced a $1.5 million, or 4.6%, decrease in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during the nine months ended June 30, 2018, compared to the nine months ended June 30, 2017, driven by decreased compensation expense, primarily as a result of a decrease of $2.9 million in variable compensation and incentive costs associated with decreased profitability, partly offset by an increase in salary and travel costs. Selling, general and administrative expenses as a percentage of revenues in the Residential segment decreased by 1.2% to 14.7% of segment revenue during the nine months ended June 30, 2018.</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INTEREST AND OTHER EXPENSE, NET</w:t>
      </w:r>
    </w:p>
    <w:p>
      <w:pPr>
        <w:spacing w:after="0" w:line="252"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ind w:left="60"/>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2018</w:t>
            </w:r>
          </w:p>
        </w:tc>
        <w:tc>
          <w:tcPr>
            <w:tcW w:w="7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ind w:left="520"/>
              <w:spacing w:after="0" w:line="142" w:lineRule="exact"/>
              <w:rPr>
                <w:sz w:val="20"/>
                <w:szCs w:val="20"/>
                <w:color w:val="auto"/>
              </w:rPr>
            </w:pPr>
            <w:r>
              <w:rPr>
                <w:rFonts w:ascii="Arial" w:cs="Arial" w:eastAsia="Arial" w:hAnsi="Arial"/>
                <w:sz w:val="14"/>
                <w:szCs w:val="14"/>
                <w:color w:val="auto"/>
                <w:w w:val="89"/>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1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7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During the three months ended June 30, 2018, we incurred interest expense of $0.5 million primarily comprised of interest expense from our term loan facility with Wells Fargo Bank, N.A. (“Wells Fargo”), an average letter of credit balance of $6.8 million under our revolving credit facility and an average unused line of credit balance of $62.9 million. This compares to interest expense of $0.4 million for the three months ended June 30, 2017, primarily comprised of interest expense from our revolving credit facility, an average letter of credit balance of $6.5 million under our revolving credit facility and an average unused line of credit balance of $60.2 million.</w:t>
      </w:r>
    </w:p>
    <w:p>
      <w:pPr>
        <w:spacing w:after="0" w:line="211"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200"/>
              <w:spacing w:after="0"/>
              <w:rPr>
                <w:sz w:val="20"/>
                <w:szCs w:val="20"/>
                <w:color w:val="auto"/>
              </w:rPr>
            </w:pPr>
            <w:r>
              <w:rPr>
                <w:rFonts w:ascii="Arial" w:cs="Arial" w:eastAsia="Arial" w:hAnsi="Arial"/>
                <w:sz w:val="14"/>
                <w:szCs w:val="14"/>
                <w:color w:val="auto"/>
                <w:w w:val="91"/>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financing charges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expense, net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During the nine months ended June 30, 2018, we incurred interest expense of $1.4 million primarily comprised of interest expense from our revolving credit facility, an average letter of credit balance of $6.6 million and an average unused line of credit balance of $63.2 million. This compares to interest expense of $1.3 million for the nine months ended June 30, 2017, primarily comprised of interest expense from our revolving credit facility, an average letter of credit balance of $6.6 million and an average unused line of credit balance of $42.1 million.</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recorded income tax expense of $1.0 million for the three months ended June 30, 2018, compared to income tax benefit of $1.5 million related to the reversal of an uncertain tax position for the three months ended June 30, 2017. For the three months ended June 30, 2018 and 2017, our income tax expense was offset by benefits of $1.8 million and $3.7 million, respectively, associated with the reversal of reserves previously established for uncertain tax positions.</w:t>
      </w:r>
    </w:p>
    <w:p>
      <w:pPr>
        <w:spacing w:after="0" w:line="187"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We recorded income tax expense of $34.6 million for the nine months ended June 30, 2018, compared to income tax expense of $1.8 million for the six months ended June 30, 2017. For the nine months ended June 30, 2018 and 2017, our income tax expense was offset by benefits of $1.8 million and $3.7 million, respectively, associated with the reversal of reserves previously established for uncertain tax positions.</w:t>
      </w:r>
    </w:p>
    <w:p>
      <w:pPr>
        <w:spacing w:after="0" w:line="16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For the nine months ended June 30, 2018, our income tax expense included a preliminary charge of $31.5 million to re-measure our deferred tax assets and liabilities to reflect the estimated impact of the new statutory tax rate enacted during the quarter.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200" w:right="120"/>
        <w:spacing w:after="0" w:line="252"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Condensed Consolidated Financial Statements included in this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w:t>
      </w:r>
    </w:p>
    <w:p>
      <w:pPr>
        <w:spacing w:after="0" w:line="6" w:lineRule="exact"/>
        <w:rPr>
          <w:sz w:val="20"/>
          <w:szCs w:val="20"/>
          <w:color w:val="auto"/>
        </w:rPr>
      </w:pPr>
    </w:p>
    <w:p>
      <w:pPr>
        <w:jc w:val="both"/>
        <w:ind w:left="200" w:right="60"/>
        <w:spacing w:after="0" w:line="255" w:lineRule="auto"/>
        <w:rPr>
          <w:sz w:val="20"/>
          <w:szCs w:val="20"/>
          <w:color w:val="auto"/>
        </w:rPr>
      </w:pPr>
      <w:r>
        <w:rPr>
          <w:rFonts w:ascii="Arial" w:cs="Arial" w:eastAsia="Arial" w:hAnsi="Arial"/>
          <w:sz w:val="18"/>
          <w:szCs w:val="18"/>
          <w:color w:val="auto"/>
        </w:rPr>
        <w:t>beliefs and assumptions derived from information available at the same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authorizing the performance of future work,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 needed basis. Additionally, electrical installation services for single-family housing at our Residential segment is completed on a short-term basis and is therefore excluded from backlog. In addition, certain service work is performed under master service agreements on an as-needed basis. Our backlog has increased from $331 million at September 30, 2017, to $392 million at June 30, 2018.</w:t>
      </w: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left="200" w:right="540"/>
        <w:spacing w:after="0" w:line="308" w:lineRule="auto"/>
        <w:rPr>
          <w:sz w:val="20"/>
          <w:szCs w:val="20"/>
          <w:color w:val="auto"/>
        </w:rPr>
      </w:pPr>
      <w:r>
        <w:rPr>
          <w:rFonts w:ascii="Arial" w:cs="Arial" w:eastAsia="Arial" w:hAnsi="Arial"/>
          <w:sz w:val="17"/>
          <w:szCs w:val="17"/>
          <w:color w:val="auto"/>
        </w:rPr>
        <w:t>During the nine months ended June 30, 2018, working capital exclusive of cash increased by $16.3 million from September 30, 2017, reflecting a $8.9 million increase in current assets excluding cash and a $7.4 million decrease in current liabilities during the period.</w:t>
      </w:r>
    </w:p>
    <w:p>
      <w:pPr>
        <w:spacing w:after="0" w:line="147" w:lineRule="exact"/>
        <w:rPr>
          <w:sz w:val="20"/>
          <w:szCs w:val="20"/>
          <w:color w:val="auto"/>
        </w:rPr>
      </w:pPr>
    </w:p>
    <w:p>
      <w:pPr>
        <w:ind w:left="200" w:right="260"/>
        <w:spacing w:after="0" w:line="276" w:lineRule="auto"/>
        <w:rPr>
          <w:sz w:val="20"/>
          <w:szCs w:val="20"/>
          <w:color w:val="auto"/>
        </w:rPr>
      </w:pPr>
      <w:r>
        <w:rPr>
          <w:rFonts w:ascii="Arial" w:cs="Arial" w:eastAsia="Arial" w:hAnsi="Arial"/>
          <w:sz w:val="17"/>
          <w:szCs w:val="17"/>
          <w:color w:val="auto"/>
        </w:rPr>
        <w:t>During the nine months ended June 30, 2018, our current assets exclusive of cash increased to $212.3 million, as compared to $203.5 million as of September 30, 2017. The increase primarily relates to an $9.1 million increase in Costs and estimated earnings in excess of billings, largely driven by our Commercial &amp; Industrial segment. Days sales outstanding decreased to 53 at June 30, 2018, from 66 at September 30, 2017.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73"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During the nine months ended June 30, 2018, our total current liabilities decreased by $7.4 million to $143.2 million, compared to $150.6 million as of September 30, 2017, primarily related to a decrease in accounts payable and accrued liabilities and a decrease in Billings in excess of costs and estimated earnings.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Surety</w:t>
      </w:r>
    </w:p>
    <w:p>
      <w:pPr>
        <w:spacing w:after="0" w:line="117"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We believe the bonding capacity presently provided by our sureties is adequate for our current operations and will be adequate for our operations for the foreseeable future. As of June 30, 2018, the estimated cost to complete our bonded projects was approximately $61.3 million.</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Revolving Credit Facility</w:t>
      </w:r>
    </w:p>
    <w:p>
      <w:pPr>
        <w:spacing w:after="0" w:line="117"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We maintain a $100 million revolving credit facility with Wells Fargo Bank, N.A. that matures in August 2021 (as amended, the “Credit Facility”), pursuant to a Second Amended and Restated Credit and Security Agreement with Wells Fargo Bank, N.A., which was further amended on July 14, 2017, August 2, 2017, and July 23, 2018 (as amended, the “Amended Credit Agreement”).</w:t>
      </w:r>
    </w:p>
    <w:p>
      <w:pPr>
        <w:spacing w:after="0" w:line="18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Pursuant to the July 23, 2018 amendment, we are required to comply with the minimum EBITDA financial covenant of the Credit Agreement in a given quarter only if our Excess Availability (as defined in the Credit Agreement) in the immediately following quarter, as tested monthly during that quarter, falls below $30 million. If, in a subsequent quarter, Excess Availability levels return to or exceed the contractual threshold, then the Company will no longer be required to comply with the minimum EBITDA financial covenant, so long as Excess Availability remains above the threshold.</w:t>
      </w:r>
    </w:p>
    <w:p>
      <w:pPr>
        <w:sectPr>
          <w:pgSz w:w="11900" w:h="16838" w:orient="portrait"/>
          <w:cols w:equalWidth="0" w:num="1">
            <w:col w:w="11220"/>
          </w:cols>
          <w:pgMar w:left="240" w:top="459" w:right="439" w:bottom="1440" w:gutter="0" w:footer="0" w:header="0"/>
        </w:sectPr>
      </w:pP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Credit Facility contains customary affirmative, negative and financial covenants as well as events of default.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June 30, 2018, we were in compliance with the financial covenants under the Amended Credit Agreement, requiring that we maintain:</w:t>
      </w:r>
    </w:p>
    <w:p>
      <w:pPr>
        <w:spacing w:after="0" w:line="142" w:lineRule="exact"/>
        <w:rPr>
          <w:sz w:val="20"/>
          <w:szCs w:val="20"/>
          <w:color w:val="auto"/>
        </w:rPr>
      </w:pPr>
    </w:p>
    <w:p>
      <w:pPr>
        <w:ind w:left="10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Fixed Charge Coverage Ratio (as defined in the Amended Credit Agreement), measured quarterly on a trailing four-quarter basis at the end of each quarter, of at least 1.1 to 1.0; and</w:t>
      </w:r>
    </w:p>
    <w:p>
      <w:pPr>
        <w:spacing w:after="0" w:line="75" w:lineRule="exact"/>
        <w:rPr>
          <w:rFonts w:ascii="Arial" w:cs="Arial" w:eastAsia="Arial" w:hAnsi="Arial"/>
          <w:sz w:val="18"/>
          <w:szCs w:val="18"/>
          <w:color w:val="auto"/>
        </w:rPr>
      </w:pPr>
    </w:p>
    <w:p>
      <w:pPr>
        <w:ind w:left="1060" w:right="8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Liquidity (as defined in the Amended Credit Agreement) of at least thirty percent (30%) of the Maximum Revolver Amount (as defined in the Amended Credit Agreement), or $30 million; with, for purposes of this covenant, at least fifty percent (50%) of our Liquidity comprised of Excess Availability (as defined in the Amended Credit Agreement).</w:t>
      </w:r>
    </w:p>
    <w:p>
      <w:pPr>
        <w:spacing w:after="0" w:line="18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At June 30, 2018, our Liquidity was $68.9 million, our Excess Availability was $47.2 million (or greater than 50% of minimum Liquidity), our Fixed Charge Coverage Ratio was 6.1:1.0. As our Excess Availability at June 30, 2018, exceeded $30 million, we were not required to meet the minimum EBITDA financial covenant of $35 million. However, our EBITDA, as defined in the Amended Credit Agreement for the four quarters ended June 30, 2018, was $38.2 million.</w:t>
      </w:r>
    </w:p>
    <w:p>
      <w:pPr>
        <w:spacing w:after="0" w:line="18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If in the future our Liquidity falls below $30 million (or Excess Availability falls below 50% or our minimum Liquidity), our Fixed Charge Coverage Ratio is less than 1.1:1.0, we fail to meet our minimum EBITDA requirement, or if we otherwise fail to perform or otherwise comply with certain of our covenants or other agreements under the Amended Credit Agreement, it would result in an event of default under the Amended Credit Agreement, which could result in some or all of our indebtedness becoming immediately due and payable.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At June 30, 2018, we had $6.9 million in outstanding letters of credit with Wells Fargo Bank, N.A and outstanding borrowings of $30.2 million.</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w:t>
      </w:r>
    </w:p>
    <w:p>
      <w:pPr>
        <w:spacing w:after="0" w:line="18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Operating activities provided net cash of $5.0 million during the nine months ended June 30, 2018, as compared to $10.2 million of net cash provided in the nine months ended June 30, 2017. The decrease in operating cash flow resulted primarily from an increase in working capital at our Commercial &amp; Industrial and Infrastructure Solutions segments, in support of growth in these businesses.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Net cash used in investing activities was $9.3 million for the nine months ended June 30, 2018, compared with $18.2 million for the nine months ended June 30, 2017. We used cash of $3.4 million for purchases of fixed assets and $6.0 million in connection with business combinations in the nine months ended June 30, 2018. For the nine months ended June 30, 2017, we used $3.8 million of cash for the purchase of fixed assets and $14.7 million in conjunction with business combinations.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left="200" w:right="160"/>
        <w:spacing w:after="0" w:line="312" w:lineRule="auto"/>
        <w:rPr>
          <w:sz w:val="20"/>
          <w:szCs w:val="20"/>
          <w:color w:val="auto"/>
        </w:rPr>
      </w:pPr>
      <w:r>
        <w:rPr>
          <w:rFonts w:ascii="Arial" w:cs="Arial" w:eastAsia="Arial" w:hAnsi="Arial"/>
          <w:sz w:val="16"/>
          <w:szCs w:val="16"/>
          <w:color w:val="auto"/>
        </w:rPr>
        <w:t>Net cash used in financing activities for the nine months ended June 30, 2018 was $2.3 million, compared with $1.3 million in the nine months ended June 30, 2017. For the nine months ended June 30, 2018, we used $2.1 million in conjunction with our stock repurchase plan. During the nine months ended June 30, 2017, we used $0.9 million in connection with our stock repurchase plan, and $0.4 million to make contingent consideration payments.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Our Board of Directors has authorized a stock repurchase program for the purchase from time to time of up to 1.5 million shares of the Company’s common stock. Share purchases are made for cash in open market transactions at prevailing market prices or in privately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purchased 100,627 shares pursuant to this program during the nine months ended June 30, 2018.</w:t>
      </w: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There have been no material changes in our contractual obligations and commitments from those disclosed in our Annual Report on Form 10-K for the fiscal year ended September 30, 2017.</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240" w:top="459" w:right="5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Management is actively involved in monitoring exposure to market risk and continues to develop and utilize appropriate risk management techniques. Our exposure to significant market risks includes fluctuations in commodity prices for copper, aluminum, steel and fuel. Commodity price risks may have an impact on our results of operations due to the fixed price nature of many of our contracts. We are also exposed to interest rate risk with respect to our outstanding debt obligations on the Amended Credit Agreement. For additional information see </w:t>
      </w:r>
      <w:r>
        <w:rPr>
          <w:rFonts w:ascii="Arial" w:cs="Arial" w:eastAsia="Arial" w:hAnsi="Arial"/>
          <w:sz w:val="18"/>
          <w:szCs w:val="18"/>
          <w:i w:val="1"/>
          <w:iCs w:val="1"/>
          <w:color w:val="auto"/>
        </w:rPr>
        <w:t>“Disclosure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Part I of this Quarterly Report on Form 10-Q and our risk factors in Item 1A.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our Annual Report on Form 10-K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ended September 30, 2017.</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Commodity Risk</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 The Company has not entered into any commodity price risk hedging instruments.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We are subject to interest rate risk on our floating interest rate borrowings on the Amended Credit Agreement. If LIBOR were to increase, our interest payment obligations on outstanding borrowings would increase, having a negative effect on our cash flow and financial condition.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spacing w:after="0" w:line="171"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All of the long-term debt outstanding under our revolving credit facility is structured on floating interest rate terms. A one percentage point increase in the interest rates on our long-term debt outstanding under the credit facility as of June 30, 2018, would cause a $0.3 million pre-tax annual increase in interest expense.</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 and 15d-15 under the Exchange Act) during the fiscal quarter to which this report relates that have materially affected, or are likely to materially affect, the Company’s internal control over financial reporting.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In accordance with Rules 13a-15 and 15d-15 of the Securities Exchange Act of 1934, as amended (the “Exchange Act”), we carried out an evaluation, under the supervision and with the participation of management, including our President and our Chief Financial Officer, of the effectiveness of our disclosure controls and procedures as of the end of the period covered by this report. Based on that evaluation, our President and Chief Financial Officer concluded that our disclosure controls and procedures were effective as of June 30, 2018,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President and Chief Financial Officer, as appropriate, to allow timely decisions regarding required disclosure.</w:t>
      </w: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200" w:right="680"/>
        <w:spacing w:after="0" w:line="342" w:lineRule="auto"/>
        <w:rPr>
          <w:sz w:val="20"/>
          <w:szCs w:val="20"/>
          <w:color w:val="auto"/>
        </w:rPr>
      </w:pPr>
      <w:r>
        <w:rPr>
          <w:rFonts w:ascii="Arial" w:cs="Arial" w:eastAsia="Arial" w:hAnsi="Arial"/>
          <w:sz w:val="16"/>
          <w:szCs w:val="16"/>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There have been no material changes to the risk factors disclosed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fiscal year ended September 30, 2017.</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following table presents information with respect to purchases of common stock of the Company made during the three months ended June 30, 2018:</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jc w:val="right"/>
              <w:ind w:right="38"/>
              <w:spacing w:after="0" w:line="149" w:lineRule="exact"/>
              <w:rPr>
                <w:sz w:val="20"/>
                <w:szCs w:val="20"/>
                <w:color w:val="auto"/>
              </w:rPr>
            </w:pPr>
            <w:r>
              <w:rPr>
                <w:rFonts w:ascii="Arial" w:cs="Arial" w:eastAsia="Arial" w:hAnsi="Arial"/>
                <w:sz w:val="14"/>
                <w:szCs w:val="14"/>
                <w:color w:val="auto"/>
              </w:rPr>
              <w:t>Total Number of</w:t>
            </w:r>
          </w:p>
        </w:tc>
        <w:tc>
          <w:tcPr>
            <w:tcW w:w="2100" w:type="dxa"/>
            <w:vAlign w:val="bottom"/>
            <w:gridSpan w:val="3"/>
          </w:tcPr>
          <w:p>
            <w:pPr>
              <w:jc w:val="center"/>
              <w:ind w:left="502"/>
              <w:spacing w:after="0" w:line="149" w:lineRule="exact"/>
              <w:rPr>
                <w:sz w:val="20"/>
                <w:szCs w:val="20"/>
                <w:color w:val="auto"/>
              </w:rPr>
            </w:pPr>
            <w:r>
              <w:rPr>
                <w:rFonts w:ascii="Arial" w:cs="Arial" w:eastAsia="Arial" w:hAnsi="Arial"/>
                <w:sz w:val="14"/>
                <w:szCs w:val="14"/>
                <w:color w:val="auto"/>
                <w:w w:val="91"/>
              </w:rPr>
              <w:t>Be 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20" w:type="dxa"/>
            <w:vAlign w:val="bottom"/>
            <w:gridSpan w:val="2"/>
          </w:tcPr>
          <w:p>
            <w:pPr>
              <w:jc w:val="center"/>
              <w:ind w:left="908"/>
              <w:spacing w:after="0" w:line="149" w:lineRule="exact"/>
              <w:rPr>
                <w:sz w:val="20"/>
                <w:szCs w:val="20"/>
                <w:color w:val="auto"/>
              </w:rPr>
            </w:pPr>
            <w:r>
              <w:rPr>
                <w:rFonts w:ascii="Arial" w:cs="Arial" w:eastAsia="Arial" w:hAnsi="Arial"/>
                <w:sz w:val="14"/>
                <w:szCs w:val="14"/>
                <w:color w:val="auto"/>
                <w:w w:val="94"/>
              </w:rPr>
              <w:t>Total Number</w:t>
            </w:r>
          </w:p>
        </w:tc>
        <w:tc>
          <w:tcPr>
            <w:tcW w:w="64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9"/>
              </w:rPr>
              <w:t>Average</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Shares Purchased as</w:t>
            </w:r>
          </w:p>
        </w:tc>
        <w:tc>
          <w:tcPr>
            <w:tcW w:w="64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Publicly Announced</w:t>
            </w: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Arial" w:cs="Arial" w:eastAsia="Arial" w:hAnsi="Arial"/>
                <w:sz w:val="14"/>
                <w:szCs w:val="14"/>
                <w:color w:val="auto"/>
              </w:rPr>
              <w:t>Date</w:t>
            </w:r>
          </w:p>
        </w:tc>
        <w:tc>
          <w:tcPr>
            <w:tcW w:w="10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12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Price Paid</w:t>
            </w:r>
          </w:p>
        </w:tc>
        <w:tc>
          <w:tcPr>
            <w:tcW w:w="640" w:type="dxa"/>
            <w:vAlign w:val="bottom"/>
          </w:tcPr>
          <w:p>
            <w:pPr>
              <w:spacing w:after="0"/>
              <w:rPr>
                <w:sz w:val="12"/>
                <w:szCs w:val="12"/>
                <w:color w:val="auto"/>
              </w:rPr>
            </w:pPr>
          </w:p>
        </w:tc>
        <w:tc>
          <w:tcPr>
            <w:tcW w:w="1180" w:type="dxa"/>
            <w:vAlign w:val="bottom"/>
          </w:tcPr>
          <w:p>
            <w:pPr>
              <w:jc w:val="right"/>
              <w:ind w:right="18"/>
              <w:spacing w:after="0" w:line="149" w:lineRule="exact"/>
              <w:rPr>
                <w:sz w:val="20"/>
                <w:szCs w:val="20"/>
                <w:color w:val="auto"/>
              </w:rPr>
            </w:pPr>
            <w:r>
              <w:rPr>
                <w:rFonts w:ascii="Arial" w:cs="Arial" w:eastAsia="Arial" w:hAnsi="Arial"/>
                <w:sz w:val="14"/>
                <w:szCs w:val="14"/>
                <w:color w:val="auto"/>
              </w:rPr>
              <w:t>Part of a Publicly</w:t>
            </w:r>
          </w:p>
        </w:tc>
        <w:tc>
          <w:tcPr>
            <w:tcW w:w="64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Plan as of June 30,</w:t>
            </w:r>
          </w:p>
        </w:tc>
        <w:tc>
          <w:tcPr>
            <w:tcW w:w="0" w:type="dxa"/>
            <w:vAlign w:val="bottom"/>
          </w:tcPr>
          <w:p>
            <w:pPr>
              <w:spacing w:after="0"/>
              <w:rPr>
                <w:sz w:val="1"/>
                <w:szCs w:val="1"/>
                <w:color w:val="auto"/>
              </w:rPr>
            </w:pPr>
          </w:p>
        </w:tc>
      </w:tr>
      <w:tr>
        <w:trPr>
          <w:trHeight w:val="154"/>
        </w:trPr>
        <w:tc>
          <w:tcPr>
            <w:tcW w:w="316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0"/>
              </w:rPr>
              <w:t>Purchased (1)</w:t>
            </w:r>
          </w:p>
        </w:tc>
        <w:tc>
          <w:tcPr>
            <w:tcW w:w="640" w:type="dxa"/>
            <w:vAlign w:val="bottom"/>
          </w:tcPr>
          <w:p>
            <w:pPr>
              <w:spacing w:after="0"/>
              <w:rPr>
                <w:sz w:val="13"/>
                <w:szCs w:val="13"/>
                <w:color w:val="auto"/>
              </w:rPr>
            </w:pPr>
          </w:p>
        </w:tc>
        <w:tc>
          <w:tcPr>
            <w:tcW w:w="60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88"/>
              </w:rPr>
              <w:t>Per Share</w:t>
            </w:r>
          </w:p>
        </w:tc>
        <w:tc>
          <w:tcPr>
            <w:tcW w:w="640" w:type="dxa"/>
            <w:vAlign w:val="bottom"/>
          </w:tcPr>
          <w:p>
            <w:pPr>
              <w:spacing w:after="0"/>
              <w:rPr>
                <w:sz w:val="13"/>
                <w:szCs w:val="13"/>
                <w:color w:val="auto"/>
              </w:rPr>
            </w:pPr>
          </w:p>
        </w:tc>
        <w:tc>
          <w:tcPr>
            <w:tcW w:w="1180" w:type="dxa"/>
            <w:vAlign w:val="bottom"/>
          </w:tcPr>
          <w:p>
            <w:pPr>
              <w:jc w:val="right"/>
              <w:spacing w:after="0" w:line="154" w:lineRule="exact"/>
              <w:rPr>
                <w:sz w:val="20"/>
                <w:szCs w:val="20"/>
                <w:color w:val="auto"/>
              </w:rPr>
            </w:pPr>
            <w:r>
              <w:rPr>
                <w:rFonts w:ascii="Arial" w:cs="Arial" w:eastAsia="Arial" w:hAnsi="Arial"/>
                <w:sz w:val="14"/>
                <w:szCs w:val="14"/>
                <w:color w:val="auto"/>
                <w:w w:val="92"/>
              </w:rPr>
              <w:t>Announced Plan (2)</w:t>
            </w:r>
          </w:p>
        </w:tc>
        <w:tc>
          <w:tcPr>
            <w:tcW w:w="2060" w:type="dxa"/>
            <w:vAlign w:val="bottom"/>
            <w:gridSpan w:val="2"/>
          </w:tcPr>
          <w:p>
            <w:pPr>
              <w:jc w:val="center"/>
              <w:ind w:left="542"/>
              <w:spacing w:after="0" w:line="154" w:lineRule="exact"/>
              <w:rPr>
                <w:sz w:val="20"/>
                <w:szCs w:val="20"/>
                <w:color w:val="auto"/>
              </w:rPr>
            </w:pPr>
            <w:r>
              <w:rPr>
                <w:rFonts w:ascii="Arial" w:cs="Arial" w:eastAsia="Arial" w:hAnsi="Arial"/>
                <w:sz w:val="14"/>
                <w:szCs w:val="14"/>
                <w:color w:val="auto"/>
                <w:w w:val="89"/>
              </w:rPr>
              <w:t>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1, 2018 - April 30, 2018</w:t>
            </w:r>
          </w:p>
        </w:tc>
        <w:tc>
          <w:tcPr>
            <w:tcW w:w="10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49,262</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15.28</w:t>
            </w:r>
          </w:p>
        </w:tc>
        <w:tc>
          <w:tcPr>
            <w:tcW w:w="64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20,810</w:t>
            </w:r>
          </w:p>
        </w:tc>
        <w:tc>
          <w:tcPr>
            <w:tcW w:w="64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716,091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Arial" w:cs="Arial" w:eastAsia="Arial" w:hAnsi="Arial"/>
                <w:sz w:val="18"/>
                <w:szCs w:val="18"/>
                <w:color w:val="auto"/>
              </w:rPr>
              <w:t>May 1, 2018 – May 31, 2018</w:t>
            </w:r>
          </w:p>
        </w:tc>
        <w:tc>
          <w:tcPr>
            <w:tcW w:w="10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17.50</w:t>
            </w:r>
          </w:p>
        </w:tc>
        <w:tc>
          <w:tcPr>
            <w:tcW w:w="640" w:type="dxa"/>
            <w:vAlign w:val="bottom"/>
          </w:tcPr>
          <w:p>
            <w:pPr>
              <w:spacing w:after="0"/>
              <w:rPr>
                <w:sz w:val="20"/>
                <w:szCs w:val="20"/>
                <w:color w:val="auto"/>
              </w:rPr>
            </w:pP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2018 – June 30, 2018</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53,642</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15.46</w:t>
            </w:r>
          </w:p>
        </w:tc>
        <w:tc>
          <w:tcPr>
            <w:tcW w:w="6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20,810</w:t>
            </w:r>
          </w:p>
        </w:tc>
        <w:tc>
          <w:tcPr>
            <w:tcW w:w="6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716,091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060" w:right="40" w:hanging="424"/>
        <w:spacing w:after="0" w:line="256"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shares purchased includes shares purchased pursuant to the plan described in footnote (2) below. During the quarter ended June 30, 2018, 32,832 shares were surrendered to the Company to satisfy tax withholding obligations in connection with the vesting of restricted stock issued to employees.</w:t>
      </w:r>
    </w:p>
    <w:p>
      <w:pPr>
        <w:ind w:left="1060" w:right="100" w:hanging="424"/>
        <w:spacing w:after="0" w:line="261"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of Directors has authorized a stock repurchase program for the purchase of up to 1.5 million shares of the Company’s common stock from time to time.</w:t>
      </w:r>
    </w:p>
    <w:p>
      <w:pPr>
        <w:spacing w:after="0" w:line="328"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52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8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48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100" w:hanging="665"/>
        <w:spacing w:after="0" w:line="342" w:lineRule="auto"/>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2.1 —</w:t>
      </w:r>
      <w:r>
        <w:rPr>
          <w:sz w:val="20"/>
          <w:szCs w:val="20"/>
          <w:color w:val="auto"/>
        </w:rPr>
        <w:tab/>
      </w:r>
      <w:hyperlink r:id="rId55">
        <w:r>
          <w:rPr>
            <w:rFonts w:ascii="Arial" w:cs="Arial" w:eastAsia="Arial" w:hAnsi="Arial"/>
            <w:sz w:val="16"/>
            <w:szCs w:val="16"/>
            <w:u w:val="single" w:color="auto"/>
            <w:color w:val="0000EE"/>
          </w:rPr>
          <w:t>Stock Purchase Agreement dated as of June 1, 2016, by and among IES Infrastructure Solutions, LLC, IES Holdings, Inc., Technibus, Inc.</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and Technibus, LLC. (Incorporated by reference to Exhibit 2.1 to the Company’s Current Report on Form 8-K filed on June 15, 2016)</w:t>
        </w:r>
      </w:hyperlink>
    </w:p>
    <w:p>
      <w:pPr>
        <w:spacing w:after="0" w:line="16" w:lineRule="exact"/>
        <w:rPr>
          <w:sz w:val="20"/>
          <w:szCs w:val="20"/>
          <w:color w:val="auto"/>
        </w:rPr>
      </w:pPr>
    </w:p>
    <w:p>
      <w:pPr>
        <w:ind w:left="1100" w:right="200" w:hanging="665"/>
        <w:spacing w:after="0" w:line="264"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3.1 —</w:t>
      </w:r>
      <w:r>
        <w:rPr>
          <w:sz w:val="20"/>
          <w:szCs w:val="20"/>
          <w:color w:val="auto"/>
        </w:rPr>
        <w:tab/>
      </w:r>
      <w:hyperlink r:id="rId56">
        <w:r>
          <w:rPr>
            <w:rFonts w:ascii="Arial" w:cs="Arial" w:eastAsia="Arial" w:hAnsi="Arial"/>
            <w:sz w:val="18"/>
            <w:szCs w:val="18"/>
            <w:u w:val="single" w:color="auto"/>
            <w:color w:val="0000EE"/>
          </w:rPr>
          <w:t>Second Amended and Restated Certificate of Incorporation of IES Holdings, Inc., as amended by the Certificate of Amendment thereto,</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effective May 24, 2016 (composite). (Incorporated by reference to Exhibit 3.1 to the Company’s Quarterly Report on Form 10-Q filed</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on August 8, 2016)</w:t>
        </w:r>
      </w:hyperlink>
    </w:p>
    <w:p>
      <w:pPr>
        <w:spacing w:after="0" w:line="73" w:lineRule="exact"/>
        <w:rPr>
          <w:rFonts w:ascii="Arial" w:cs="Arial" w:eastAsia="Arial" w:hAnsi="Arial"/>
          <w:sz w:val="18"/>
          <w:szCs w:val="18"/>
          <w:u w:val="single" w:color="auto"/>
          <w:color w:val="0000EE"/>
        </w:rPr>
      </w:pPr>
    </w:p>
    <w:p>
      <w:pPr>
        <w:ind w:left="1100" w:right="280" w:hanging="665"/>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3.2 —</w:t>
      </w:r>
      <w:r>
        <w:rPr>
          <w:sz w:val="20"/>
          <w:szCs w:val="20"/>
          <w:color w:val="auto"/>
        </w:rPr>
        <w:tab/>
      </w:r>
      <w:hyperlink r:id="rId57">
        <w:r>
          <w:rPr>
            <w:rFonts w:ascii="Arial" w:cs="Arial" w:eastAsia="Arial" w:hAnsi="Arial"/>
            <w:sz w:val="18"/>
            <w:szCs w:val="18"/>
            <w:u w:val="single" w:color="auto"/>
            <w:color w:val="0000EE"/>
          </w:rPr>
          <w:t>Certificate of Designations of Series A Junior Participating Preferred Stock (Incorporated by reference to Exhibit 3.1 to the Company’s</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Current Report on Form 8-K filed on January 28, 2013)</w:t>
        </w:r>
      </w:hyperlink>
    </w:p>
    <w:p>
      <w:pPr>
        <w:spacing w:after="0" w:line="62" w:lineRule="exact"/>
        <w:rPr>
          <w:sz w:val="20"/>
          <w:szCs w:val="20"/>
          <w:color w:val="auto"/>
        </w:rPr>
      </w:pPr>
    </w:p>
    <w:p>
      <w:pPr>
        <w:ind w:left="1100" w:hanging="665"/>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3.3 —</w:t>
      </w:r>
      <w:r>
        <w:rPr>
          <w:sz w:val="20"/>
          <w:szCs w:val="20"/>
          <w:color w:val="auto"/>
        </w:rPr>
        <w:tab/>
      </w:r>
      <w:hyperlink r:id="rId58">
        <w:r>
          <w:rPr>
            <w:rFonts w:ascii="Arial" w:cs="Arial" w:eastAsia="Arial" w:hAnsi="Arial"/>
            <w:sz w:val="18"/>
            <w:szCs w:val="18"/>
            <w:u w:val="single" w:color="auto"/>
            <w:color w:val="0000EE"/>
          </w:rPr>
          <w:t>Amended and Restated Bylaws of IES Holdings, Inc., effective May 24, 2016. (Incorporated by reference to Exhibit 3.2 to the Company’s</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Current Report on Form 8-K filed on May 24, 2016)</w:t>
        </w:r>
      </w:hyperlink>
    </w:p>
    <w:p>
      <w:pPr>
        <w:spacing w:after="0" w:line="62" w:lineRule="exact"/>
        <w:rPr>
          <w:sz w:val="20"/>
          <w:szCs w:val="20"/>
          <w:color w:val="auto"/>
        </w:rPr>
      </w:pPr>
    </w:p>
    <w:p>
      <w:pPr>
        <w:ind w:left="1100" w:right="300" w:hanging="665"/>
        <w:spacing w:after="0" w:line="277"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4.1 —</w:t>
      </w:r>
      <w:r>
        <w:rPr>
          <w:sz w:val="20"/>
          <w:szCs w:val="20"/>
          <w:color w:val="auto"/>
        </w:rPr>
        <w:tab/>
      </w:r>
      <w:hyperlink r:id="rId59">
        <w:r>
          <w:rPr>
            <w:rFonts w:ascii="Arial" w:cs="Arial" w:eastAsia="Arial" w:hAnsi="Arial"/>
            <w:sz w:val="18"/>
            <w:szCs w:val="18"/>
            <w:u w:val="single" w:color="auto"/>
            <w:color w:val="0000EE"/>
          </w:rPr>
          <w:t>Specimen common stock certificate. (Incorporated by reference to Exhibit 4.1 to the Company’s Annual Report on Form 10-K filed on</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December 9, 2016)</w:t>
        </w:r>
      </w:hyperlink>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240" w:top="459" w:right="5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320" w:hanging="746"/>
        <w:spacing w:after="0" w:line="259"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4.2 —</w:t>
      </w:r>
      <w:r>
        <w:rPr>
          <w:sz w:val="20"/>
          <w:szCs w:val="20"/>
          <w:color w:val="auto"/>
        </w:rPr>
        <w:tab/>
      </w:r>
      <w:hyperlink r:id="rId61">
        <w:r>
          <w:rPr>
            <w:rFonts w:ascii="Arial" w:cs="Arial" w:eastAsia="Arial" w:hAnsi="Arial"/>
            <w:sz w:val="18"/>
            <w:szCs w:val="18"/>
            <w:u w:val="single" w:color="auto"/>
            <w:color w:val="0000EE"/>
          </w:rPr>
          <w:t>Tax Benefit Protection Plan Agreement by and between IES Holdings, Inc. and American Stock Transfer &amp; Trust Company, LLC, as</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Rights Agent, dated as of November 8, 2016, including the form of Rights Certificate and Summary of Stockholder Rights Plan attached</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thereto as Exhibits A and B, respectively. (Incorporated by reference to Exhibit 4.1 to the Company’s Current Report on Form 8-K filed</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on November 9, 2016)</w:t>
        </w:r>
      </w:hyperlink>
    </w:p>
    <w:p>
      <w:pPr>
        <w:spacing w:after="0" w:line="79" w:lineRule="exact"/>
        <w:rPr>
          <w:rFonts w:ascii="Arial" w:cs="Arial" w:eastAsia="Arial" w:hAnsi="Arial"/>
          <w:sz w:val="18"/>
          <w:szCs w:val="18"/>
          <w:u w:val="single" w:color="auto"/>
          <w:color w:val="0000EE"/>
        </w:rPr>
      </w:pPr>
    </w:p>
    <w:p>
      <w:pPr>
        <w:ind w:left="1320" w:hanging="836"/>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10.1 —</w:t>
      </w:r>
      <w:r>
        <w:rPr>
          <w:sz w:val="20"/>
          <w:szCs w:val="20"/>
          <w:color w:val="auto"/>
        </w:rPr>
        <w:tab/>
      </w:r>
      <w:hyperlink r:id="rId62">
        <w:r>
          <w:rPr>
            <w:rFonts w:ascii="Arial" w:cs="Arial" w:eastAsia="Arial" w:hAnsi="Arial"/>
            <w:sz w:val="17"/>
            <w:szCs w:val="17"/>
            <w:u w:val="single" w:color="auto"/>
            <w:color w:val="0000EE"/>
          </w:rPr>
          <w:t>Third Amendment to Second Amended and Restated Credit and Security Agreement, dated as of July 23, 2018, by and among IES</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Holdings, Inc., each of the other Borrowers and Guarantors named therein and Wells Fargo Bank, National Association. (Incorporated by</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reference to Exhibit 10.1 to the Company’s Current Report on Form 8-K filed on July 23, 2018)</w:t>
        </w:r>
      </w:hyperlink>
    </w:p>
    <w:p>
      <w:pPr>
        <w:spacing w:after="0" w:line="57" w:lineRule="exact"/>
        <w:rPr>
          <w:rFonts w:ascii="Arial" w:cs="Arial" w:eastAsia="Arial" w:hAnsi="Arial"/>
          <w:sz w:val="17"/>
          <w:szCs w:val="17"/>
          <w:u w:val="single" w:color="auto"/>
          <w:color w:val="0000EE"/>
        </w:rPr>
      </w:pPr>
    </w:p>
    <w:p>
      <w:pPr>
        <w:ind w:left="30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(1)31.1 —</w:t>
      </w:r>
      <w:r>
        <w:rPr>
          <w:sz w:val="20"/>
          <w:szCs w:val="20"/>
          <w:color w:val="auto"/>
        </w:rPr>
        <w:tab/>
      </w:r>
      <w:hyperlink w:anchor="page41">
        <w:r>
          <w:rPr>
            <w:rFonts w:ascii="Arial" w:cs="Arial" w:eastAsia="Arial" w:hAnsi="Arial"/>
            <w:sz w:val="16"/>
            <w:szCs w:val="16"/>
            <w:u w:val="single" w:color="auto"/>
            <w:color w:val="0000EE"/>
          </w:rPr>
          <w:t>Rule 13a-14(a)/15d-14(a) Certification of Robert W. Lewey, President,</w:t>
        </w:r>
      </w:hyperlink>
    </w:p>
    <w:p>
      <w:pPr>
        <w:spacing w:after="0" w:line="117" w:lineRule="exact"/>
        <w:rPr>
          <w:rFonts w:ascii="Arial" w:cs="Arial" w:eastAsia="Arial" w:hAnsi="Arial"/>
          <w:sz w:val="17"/>
          <w:szCs w:val="17"/>
          <w:u w:val="single" w:color="auto"/>
          <w:color w:val="0000EE"/>
        </w:rPr>
      </w:pPr>
    </w:p>
    <w:p>
      <w:pPr>
        <w:ind w:left="30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(1)31.2 —</w:t>
      </w:r>
      <w:r>
        <w:rPr>
          <w:sz w:val="20"/>
          <w:szCs w:val="20"/>
          <w:color w:val="auto"/>
        </w:rPr>
        <w:tab/>
      </w:r>
      <w:hyperlink w:anchor="page42">
        <w:r>
          <w:rPr>
            <w:rFonts w:ascii="Arial" w:cs="Arial" w:eastAsia="Arial" w:hAnsi="Arial"/>
            <w:sz w:val="16"/>
            <w:szCs w:val="16"/>
            <w:u w:val="single" w:color="auto"/>
            <w:color w:val="0000EE"/>
          </w:rPr>
          <w:t>Rule 13a-14(a)/15d-14(a) Certification of Tracy A. McLauchlin, Senior Vice President, Chief Financial Officer and Treasurer</w:t>
        </w:r>
      </w:hyperlink>
    </w:p>
    <w:p>
      <w:pPr>
        <w:spacing w:after="0" w:line="117" w:lineRule="exact"/>
        <w:rPr>
          <w:rFonts w:ascii="Arial" w:cs="Arial" w:eastAsia="Arial" w:hAnsi="Arial"/>
          <w:sz w:val="17"/>
          <w:szCs w:val="17"/>
          <w:u w:val="single" w:color="auto"/>
          <w:color w:val="0000EE"/>
        </w:rPr>
      </w:pPr>
    </w:p>
    <w:p>
      <w:pPr>
        <w:ind w:left="30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(1)32.1 —</w:t>
      </w:r>
      <w:r>
        <w:rPr>
          <w:sz w:val="20"/>
          <w:szCs w:val="20"/>
          <w:color w:val="auto"/>
        </w:rPr>
        <w:tab/>
      </w:r>
      <w:hyperlink w:anchor="page43">
        <w:r>
          <w:rPr>
            <w:rFonts w:ascii="Arial" w:cs="Arial" w:eastAsia="Arial" w:hAnsi="Arial"/>
            <w:sz w:val="16"/>
            <w:szCs w:val="16"/>
            <w:u w:val="single" w:color="auto"/>
            <w:color w:val="0000EE"/>
          </w:rPr>
          <w:t>Section 1350 Certification of Robert W. Lewey, President</w:t>
        </w:r>
      </w:hyperlink>
    </w:p>
    <w:p>
      <w:pPr>
        <w:spacing w:after="0" w:line="117" w:lineRule="exact"/>
        <w:rPr>
          <w:rFonts w:ascii="Arial" w:cs="Arial" w:eastAsia="Arial" w:hAnsi="Arial"/>
          <w:sz w:val="17"/>
          <w:szCs w:val="17"/>
          <w:u w:val="single" w:color="auto"/>
          <w:color w:val="0000EE"/>
        </w:rPr>
      </w:pPr>
    </w:p>
    <w:p>
      <w:pPr>
        <w:ind w:left="30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(1)32.2 —</w:t>
      </w:r>
      <w:r>
        <w:rPr>
          <w:sz w:val="20"/>
          <w:szCs w:val="20"/>
          <w:color w:val="auto"/>
        </w:rPr>
        <w:tab/>
      </w:r>
      <w:hyperlink w:anchor="page44">
        <w:r>
          <w:rPr>
            <w:rFonts w:ascii="Arial" w:cs="Arial" w:eastAsia="Arial" w:hAnsi="Arial"/>
            <w:sz w:val="16"/>
            <w:szCs w:val="16"/>
            <w:u w:val="single" w:color="auto"/>
            <w:color w:val="0000EE"/>
          </w:rPr>
          <w:t>Section 1350 Certification of Tracy A. McLauchlin, Senior Vice President, Chief Financial Officer and Treasurer</w:t>
        </w:r>
      </w:hyperlink>
    </w:p>
    <w:p>
      <w:pPr>
        <w:spacing w:after="0" w:line="117" w:lineRule="exact"/>
        <w:rPr>
          <w:rFonts w:ascii="Arial" w:cs="Arial" w:eastAsia="Arial" w:hAnsi="Arial"/>
          <w:sz w:val="17"/>
          <w:szCs w:val="17"/>
          <w:u w:val="single" w:color="auto"/>
          <w:color w:val="0000EE"/>
        </w:rPr>
      </w:pPr>
    </w:p>
    <w:p>
      <w:pPr>
        <w:ind w:left="200"/>
        <w:spacing w:after="0"/>
        <w:tabs>
          <w:tab w:leader="none" w:pos="1300" w:val="left"/>
        </w:tabs>
        <w:rPr>
          <w:sz w:val="20"/>
          <w:szCs w:val="20"/>
          <w:color w:val="auto"/>
        </w:rPr>
      </w:pPr>
      <w:r>
        <w:rPr>
          <w:rFonts w:ascii="Arial" w:cs="Arial" w:eastAsia="Arial" w:hAnsi="Arial"/>
          <w:sz w:val="18"/>
          <w:szCs w:val="18"/>
          <w:color w:val="auto"/>
        </w:rPr>
        <w:t>(1)101.INS</w:t>
      </w:r>
      <w:r>
        <w:rPr>
          <w:sz w:val="20"/>
          <w:szCs w:val="20"/>
          <w:color w:val="auto"/>
        </w:rPr>
        <w:tab/>
      </w:r>
      <w:r>
        <w:rPr>
          <w:rFonts w:ascii="Arial" w:cs="Arial" w:eastAsia="Arial" w:hAnsi="Arial"/>
          <w:sz w:val="16"/>
          <w:szCs w:val="16"/>
          <w:color w:val="auto"/>
        </w:rPr>
        <w:t>XBRL Instance Document</w:t>
      </w:r>
    </w:p>
    <w:p>
      <w:pPr>
        <w:spacing w:after="0" w:line="117" w:lineRule="exact"/>
        <w:rPr>
          <w:rFonts w:ascii="Arial" w:cs="Arial" w:eastAsia="Arial" w:hAnsi="Arial"/>
          <w:sz w:val="17"/>
          <w:szCs w:val="17"/>
          <w:u w:val="single" w:color="auto"/>
          <w:color w:val="0000EE"/>
        </w:rPr>
      </w:pPr>
    </w:p>
    <w:p>
      <w:pPr>
        <w:ind w:left="200"/>
        <w:spacing w:after="0"/>
        <w:tabs>
          <w:tab w:leader="none" w:pos="1300" w:val="left"/>
        </w:tabs>
        <w:rPr>
          <w:sz w:val="20"/>
          <w:szCs w:val="20"/>
          <w:color w:val="auto"/>
        </w:rPr>
      </w:pPr>
      <w:r>
        <w:rPr>
          <w:rFonts w:ascii="Arial" w:cs="Arial" w:eastAsia="Arial" w:hAnsi="Arial"/>
          <w:sz w:val="18"/>
          <w:szCs w:val="18"/>
          <w:color w:val="auto"/>
        </w:rPr>
        <w:t>(1)101.SCH</w:t>
      </w:r>
      <w:r>
        <w:rPr>
          <w:sz w:val="20"/>
          <w:szCs w:val="20"/>
          <w:color w:val="auto"/>
        </w:rPr>
        <w:tab/>
      </w:r>
      <w:r>
        <w:rPr>
          <w:rFonts w:ascii="Arial" w:cs="Arial" w:eastAsia="Arial" w:hAnsi="Arial"/>
          <w:sz w:val="16"/>
          <w:szCs w:val="16"/>
          <w:color w:val="auto"/>
        </w:rPr>
        <w:t>XBRL Schema Document</w:t>
      </w:r>
    </w:p>
    <w:p>
      <w:pPr>
        <w:spacing w:after="0" w:line="117" w:lineRule="exact"/>
        <w:rPr>
          <w:rFonts w:ascii="Arial" w:cs="Arial" w:eastAsia="Arial" w:hAnsi="Arial"/>
          <w:sz w:val="17"/>
          <w:szCs w:val="17"/>
          <w:u w:val="single" w:color="auto"/>
          <w:color w:val="0000EE"/>
        </w:rPr>
      </w:pPr>
    </w:p>
    <w:p>
      <w:pPr>
        <w:ind w:left="200"/>
        <w:spacing w:after="0"/>
        <w:tabs>
          <w:tab w:leader="none" w:pos="1300" w:val="left"/>
        </w:tabs>
        <w:rPr>
          <w:sz w:val="20"/>
          <w:szCs w:val="20"/>
          <w:color w:val="auto"/>
        </w:rPr>
      </w:pPr>
      <w:r>
        <w:rPr>
          <w:rFonts w:ascii="Arial" w:cs="Arial" w:eastAsia="Arial" w:hAnsi="Arial"/>
          <w:sz w:val="18"/>
          <w:szCs w:val="18"/>
          <w:color w:val="auto"/>
        </w:rPr>
        <w:t>(1)101.LAB</w:t>
      </w:r>
      <w:r>
        <w:rPr>
          <w:sz w:val="20"/>
          <w:szCs w:val="20"/>
          <w:color w:val="auto"/>
        </w:rPr>
        <w:tab/>
      </w:r>
      <w:r>
        <w:rPr>
          <w:rFonts w:ascii="Arial" w:cs="Arial" w:eastAsia="Arial" w:hAnsi="Arial"/>
          <w:sz w:val="16"/>
          <w:szCs w:val="16"/>
          <w:color w:val="auto"/>
        </w:rPr>
        <w:t>XBRL Label Linkbase Document</w:t>
      </w:r>
    </w:p>
    <w:p>
      <w:pPr>
        <w:spacing w:after="0" w:line="117" w:lineRule="exact"/>
        <w:rPr>
          <w:rFonts w:ascii="Arial" w:cs="Arial" w:eastAsia="Arial" w:hAnsi="Arial"/>
          <w:sz w:val="17"/>
          <w:szCs w:val="17"/>
          <w:u w:val="single" w:color="auto"/>
          <w:color w:val="0000EE"/>
        </w:rPr>
      </w:pPr>
    </w:p>
    <w:p>
      <w:pPr>
        <w:ind w:left="200"/>
        <w:spacing w:after="0"/>
        <w:tabs>
          <w:tab w:leader="none" w:pos="1300" w:val="left"/>
        </w:tabs>
        <w:rPr>
          <w:sz w:val="20"/>
          <w:szCs w:val="20"/>
          <w:color w:val="auto"/>
        </w:rPr>
      </w:pPr>
      <w:r>
        <w:rPr>
          <w:rFonts w:ascii="Arial" w:cs="Arial" w:eastAsia="Arial" w:hAnsi="Arial"/>
          <w:sz w:val="18"/>
          <w:szCs w:val="18"/>
          <w:color w:val="auto"/>
        </w:rPr>
        <w:t>(1)101.PRE</w:t>
      </w:r>
      <w:r>
        <w:rPr>
          <w:sz w:val="20"/>
          <w:szCs w:val="20"/>
          <w:color w:val="auto"/>
        </w:rPr>
        <w:tab/>
      </w:r>
      <w:r>
        <w:rPr>
          <w:rFonts w:ascii="Arial" w:cs="Arial" w:eastAsia="Arial" w:hAnsi="Arial"/>
          <w:sz w:val="16"/>
          <w:szCs w:val="16"/>
          <w:color w:val="auto"/>
        </w:rPr>
        <w:t>XBRL Presentation Linkbase Document</w:t>
      </w:r>
    </w:p>
    <w:p>
      <w:pPr>
        <w:spacing w:after="0" w:line="117" w:lineRule="exact"/>
        <w:rPr>
          <w:rFonts w:ascii="Arial" w:cs="Arial" w:eastAsia="Arial" w:hAnsi="Arial"/>
          <w:sz w:val="17"/>
          <w:szCs w:val="17"/>
          <w:u w:val="single" w:color="auto"/>
          <w:color w:val="0000EE"/>
        </w:rPr>
      </w:pPr>
    </w:p>
    <w:p>
      <w:pPr>
        <w:ind w:left="200"/>
        <w:spacing w:after="0"/>
        <w:tabs>
          <w:tab w:leader="none" w:pos="1300" w:val="left"/>
        </w:tabs>
        <w:rPr>
          <w:sz w:val="20"/>
          <w:szCs w:val="20"/>
          <w:color w:val="auto"/>
        </w:rPr>
      </w:pPr>
      <w:r>
        <w:rPr>
          <w:rFonts w:ascii="Arial" w:cs="Arial" w:eastAsia="Arial" w:hAnsi="Arial"/>
          <w:sz w:val="18"/>
          <w:szCs w:val="18"/>
          <w:color w:val="auto"/>
        </w:rPr>
        <w:t>(1)101.DEF</w:t>
      </w:r>
      <w:r>
        <w:rPr>
          <w:sz w:val="20"/>
          <w:szCs w:val="20"/>
          <w:color w:val="auto"/>
        </w:rPr>
        <w:tab/>
      </w:r>
      <w:r>
        <w:rPr>
          <w:rFonts w:ascii="Arial" w:cs="Arial" w:eastAsia="Arial" w:hAnsi="Arial"/>
          <w:sz w:val="17"/>
          <w:szCs w:val="17"/>
          <w:color w:val="auto"/>
        </w:rPr>
        <w:t>XBRL Definition Linkbase Document</w:t>
      </w:r>
    </w:p>
    <w:p>
      <w:pPr>
        <w:spacing w:after="0" w:line="117" w:lineRule="exact"/>
        <w:rPr>
          <w:rFonts w:ascii="Arial" w:cs="Arial" w:eastAsia="Arial" w:hAnsi="Arial"/>
          <w:sz w:val="17"/>
          <w:szCs w:val="17"/>
          <w:u w:val="single" w:color="auto"/>
          <w:color w:val="0000EE"/>
        </w:rPr>
      </w:pPr>
    </w:p>
    <w:p>
      <w:pPr>
        <w:ind w:left="200"/>
        <w:spacing w:after="0"/>
        <w:tabs>
          <w:tab w:leader="none" w:pos="1300" w:val="left"/>
        </w:tabs>
        <w:rPr>
          <w:sz w:val="20"/>
          <w:szCs w:val="20"/>
          <w:color w:val="auto"/>
        </w:rPr>
      </w:pPr>
      <w:r>
        <w:rPr>
          <w:rFonts w:ascii="Arial" w:cs="Arial" w:eastAsia="Arial" w:hAnsi="Arial"/>
          <w:sz w:val="18"/>
          <w:szCs w:val="18"/>
          <w:color w:val="auto"/>
        </w:rPr>
        <w:t>(1)101.CAL</w:t>
      </w:r>
      <w:r>
        <w:rPr>
          <w:sz w:val="20"/>
          <w:szCs w:val="20"/>
          <w:color w:val="auto"/>
        </w:rPr>
        <w:tab/>
      </w:r>
      <w:r>
        <w:rPr>
          <w:rFonts w:ascii="Arial" w:cs="Arial" w:eastAsia="Arial" w:hAnsi="Arial"/>
          <w:sz w:val="16"/>
          <w:szCs w:val="16"/>
          <w:color w:val="auto"/>
        </w:rPr>
        <w:t>XBRL Calculation Linkbase Document</w:t>
      </w:r>
    </w:p>
    <w:p>
      <w:pPr>
        <w:spacing w:after="0" w:line="117" w:lineRule="exact"/>
        <w:rPr>
          <w:rFonts w:ascii="Arial" w:cs="Arial" w:eastAsia="Arial" w:hAnsi="Arial"/>
          <w:sz w:val="17"/>
          <w:szCs w:val="17"/>
          <w:u w:val="single" w:color="auto"/>
          <w:color w:val="0000EE"/>
        </w:rPr>
      </w:pPr>
    </w:p>
    <w:p>
      <w:pPr>
        <w:ind w:left="1320" w:hanging="1116"/>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rFonts w:ascii="Arial" w:cs="Arial" w:eastAsia="Arial" w:hAnsi="Arial"/>
          <w:sz w:val="17"/>
          <w:szCs w:val="17"/>
          <w:u w:val="single" w:color="auto"/>
          <w:color w:val="0000EE"/>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August 3, 2018.</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IES HOLDINGS, INC.</w:t>
      </w:r>
    </w:p>
    <w:p>
      <w:pPr>
        <w:spacing w:after="0" w:line="256" w:lineRule="exact"/>
        <w:rPr>
          <w:sz w:val="20"/>
          <w:szCs w:val="20"/>
          <w:color w:val="auto"/>
        </w:rPr>
      </w:pPr>
    </w:p>
    <w:p>
      <w:pPr>
        <w:ind w:left="626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855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6"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6540"/>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32" w:lineRule="exact"/>
        <w:rPr>
          <w:sz w:val="20"/>
          <w:szCs w:val="20"/>
          <w:color w:val="auto"/>
        </w:rPr>
      </w:pPr>
    </w:p>
    <w:p>
      <w:pPr>
        <w:jc w:val="center"/>
        <w:ind w:left="6540"/>
        <w:spacing w:after="0"/>
        <w:rPr>
          <w:sz w:val="20"/>
          <w:szCs w:val="20"/>
          <w:color w:val="auto"/>
        </w:rPr>
      </w:pPr>
      <w:r>
        <w:rPr>
          <w:rFonts w:ascii="Arial" w:cs="Arial" w:eastAsia="Arial" w:hAnsi="Arial"/>
          <w:sz w:val="18"/>
          <w:szCs w:val="18"/>
          <w:color w:val="auto"/>
        </w:rPr>
        <w:t>(Principal Financial Officer and Authorized Signatory)</w:t>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Lewey, certify that:</w:t>
      </w:r>
    </w:p>
    <w:p>
      <w:pPr>
        <w:spacing w:after="0" w:line="225" w:lineRule="exact"/>
        <w:rPr>
          <w:sz w:val="20"/>
          <w:szCs w:val="20"/>
          <w:color w:val="auto"/>
        </w:rPr>
      </w:pPr>
    </w:p>
    <w:p>
      <w:pPr>
        <w:ind w:left="620" w:hanging="176"/>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0" w:firstLine="444"/>
        <w:spacing w:after="0" w:line="308" w:lineRule="auto"/>
        <w:tabs>
          <w:tab w:leader="none" w:pos="62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60" w:firstLine="444"/>
        <w:spacing w:after="0" w:line="264" w:lineRule="auto"/>
        <w:tabs>
          <w:tab w:leader="none" w:pos="6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444"/>
        <w:spacing w:after="0" w:line="264"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500" w:firstLine="444"/>
        <w:spacing w:after="0" w:line="264" w:lineRule="auto"/>
        <w:tabs>
          <w:tab w:leader="none" w:pos="6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560" w:firstLine="444"/>
        <w:spacing w:after="0" w:line="342" w:lineRule="auto"/>
        <w:tabs>
          <w:tab w:leader="none" w:pos="6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460" w:firstLine="444"/>
        <w:spacing w:after="0" w:line="264" w:lineRule="auto"/>
        <w:tabs>
          <w:tab w:leader="none" w:pos="6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444"/>
        <w:spacing w:after="0" w:line="342" w:lineRule="auto"/>
        <w:tabs>
          <w:tab w:leader="none" w:pos="61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0" w:firstLine="444"/>
        <w:spacing w:after="0" w:line="277" w:lineRule="auto"/>
        <w:tabs>
          <w:tab w:leader="none" w:pos="6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80" w:firstLine="444"/>
        <w:spacing w:after="0" w:line="277" w:lineRule="auto"/>
        <w:tabs>
          <w:tab w:leader="none" w:pos="6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5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14605</wp:posOffset>
            </wp:positionV>
            <wp:extent cx="27616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Robert W. Lewey</w:t>
      </w:r>
    </w:p>
    <w:p>
      <w:pPr>
        <w:spacing w:after="0" w:line="23"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as Principal Executive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121"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Tracy A. McLauchlin, certify that:</w:t>
      </w:r>
    </w:p>
    <w:p>
      <w:pPr>
        <w:spacing w:after="0" w:line="225" w:lineRule="exact"/>
        <w:rPr>
          <w:sz w:val="20"/>
          <w:szCs w:val="20"/>
          <w:color w:val="auto"/>
        </w:rPr>
      </w:pPr>
    </w:p>
    <w:p>
      <w:pPr>
        <w:ind w:left="620" w:hanging="17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IES Holdings, Inc.;</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0" w:firstLine="444"/>
        <w:spacing w:after="0" w:line="308" w:lineRule="auto"/>
        <w:tabs>
          <w:tab w:leader="none" w:pos="62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60" w:firstLine="444"/>
        <w:spacing w:after="0" w:line="264" w:lineRule="auto"/>
        <w:tabs>
          <w:tab w:leader="none" w:pos="6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444"/>
        <w:spacing w:after="0" w:line="264"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500" w:firstLine="444"/>
        <w:spacing w:after="0" w:line="264" w:lineRule="auto"/>
        <w:tabs>
          <w:tab w:leader="none" w:pos="6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560" w:firstLine="444"/>
        <w:spacing w:after="0" w:line="342" w:lineRule="auto"/>
        <w:tabs>
          <w:tab w:leader="none" w:pos="6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460" w:firstLine="444"/>
        <w:spacing w:after="0" w:line="264" w:lineRule="auto"/>
        <w:tabs>
          <w:tab w:leader="none" w:pos="6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444"/>
        <w:spacing w:after="0" w:line="342" w:lineRule="auto"/>
        <w:tabs>
          <w:tab w:leader="none" w:pos="6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0" w:firstLine="444"/>
        <w:spacing w:after="0" w:line="277" w:lineRule="auto"/>
        <w:tabs>
          <w:tab w:leader="none" w:pos="6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80" w:firstLine="444"/>
        <w:spacing w:after="0" w:line="277" w:lineRule="auto"/>
        <w:tabs>
          <w:tab w:leader="none" w:pos="6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5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2813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6660"/>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32" w:lineRule="exact"/>
        <w:rPr>
          <w:sz w:val="20"/>
          <w:szCs w:val="20"/>
          <w:color w:val="auto"/>
        </w:rPr>
      </w:pPr>
    </w:p>
    <w:p>
      <w:pPr>
        <w:jc w:val="center"/>
        <w:ind w:left="6660"/>
        <w:spacing w:after="0"/>
        <w:rPr>
          <w:sz w:val="20"/>
          <w:szCs w:val="20"/>
          <w:color w:val="auto"/>
        </w:rPr>
      </w:pPr>
      <w:r>
        <w:rPr>
          <w:rFonts w:ascii="Arial" w:cs="Arial" w:eastAsia="Arial" w:hAnsi="Arial"/>
          <w:sz w:val="18"/>
          <w:szCs w:val="18"/>
          <w:color w:val="auto"/>
        </w:rPr>
        <w:t>as Principal Financial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121"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connection with this Quarterly Report of IES Holdings, Inc. (the “Company”) on Form 10-Q for the period ending June 30, 2018 (the “Report”), I, Robert W. Lewey, President of the Company, certify, pursuant to 18 U.S.C. § 1350, as adopted pursuant to § 906 of the Sarbanes-Oxley Act of 2002, that:</w:t>
      </w:r>
    </w:p>
    <w:p>
      <w:pPr>
        <w:spacing w:after="0" w:line="87" w:lineRule="exact"/>
        <w:rPr>
          <w:sz w:val="20"/>
          <w:szCs w:val="20"/>
          <w:color w:val="auto"/>
        </w:rPr>
      </w:pPr>
    </w:p>
    <w:p>
      <w:pPr>
        <w:ind w:left="860" w:hanging="4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August 3, 2018</w:t>
      </w:r>
      <w:r>
        <w:rPr>
          <w:sz w:val="20"/>
          <w:szCs w:val="20"/>
          <w:color w:val="auto"/>
        </w:rPr>
        <w:tab/>
      </w:r>
      <w:r>
        <w:rPr>
          <w:rFonts w:ascii="Arial" w:cs="Arial" w:eastAsia="Arial" w:hAnsi="Arial"/>
          <w:sz w:val="17"/>
          <w:szCs w:val="17"/>
          <w:color w:val="auto"/>
        </w:rPr>
        <w:t>By:  /s/ ROBERT W. LEWEY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Robert W. Lewey</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as Principal Executive Officer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121"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connection with this Quarterly Report of IES Holdings, Inc. (the “Company”) on Form 10-Q for the period ending June 30, 2018 (the “Report”), I, Tracy A. McLauchlin, Senior Vice President, Chief Financial Officer and Treasurer of the Company, certify, pursuant to 18 U.S.C. § 1350, as adopted pursuant to § 906 of the Sarbanes-Oxley Act of 2002, that:</w:t>
      </w:r>
    </w:p>
    <w:p>
      <w:pPr>
        <w:spacing w:after="0" w:line="87" w:lineRule="exact"/>
        <w:rPr>
          <w:sz w:val="20"/>
          <w:szCs w:val="20"/>
          <w:color w:val="auto"/>
        </w:rPr>
      </w:pPr>
    </w:p>
    <w:p>
      <w:pPr>
        <w:ind w:left="860" w:hanging="4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August 3, 2018</w:t>
      </w:r>
      <w:r>
        <w:rPr>
          <w:sz w:val="20"/>
          <w:szCs w:val="20"/>
          <w:color w:val="auto"/>
        </w:rPr>
        <w:tab/>
      </w:r>
      <w:r>
        <w:rPr>
          <w:rFonts w:ascii="Arial" w:cs="Arial" w:eastAsia="Arial" w:hAnsi="Arial"/>
          <w:sz w:val="18"/>
          <w:szCs w:val="18"/>
          <w:color w:val="auto"/>
        </w:rPr>
        <w:t>By:  /s/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Tracy A. McLauchlin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as Principal Financial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55" Type="http://schemas.openxmlformats.org/officeDocument/2006/relationships/hyperlink" Target="http://www.sec.gov/Archives/edgar/data/1048268/000119312516621943/d148351dex21.htm" TargetMode="External"/><Relationship Id="rId56" Type="http://schemas.openxmlformats.org/officeDocument/2006/relationships/hyperlink" Target="http://www.sec.gov/Archives/edgar/data/1048268/000119312516674386/d211495dex31.htm" TargetMode="External"/><Relationship Id="rId57" Type="http://schemas.openxmlformats.org/officeDocument/2006/relationships/hyperlink" Target="http://www.sec.gov/Archives/edgar/data/1048268/000119312513026383/d474722dex31.htm" TargetMode="External"/><Relationship Id="rId58" Type="http://schemas.openxmlformats.org/officeDocument/2006/relationships/hyperlink" Target="http://www.sec.gov/Archives/edgar/data/1048268/000119312516600652/d197326dex32.htm" TargetMode="External"/><Relationship Id="rId59" Type="http://schemas.openxmlformats.org/officeDocument/2006/relationships/hyperlink" Target="http://www.sec.gov/Archives/edgar/data/1048268/000119312516789187/d310826dex41.htm" TargetMode="External"/><Relationship Id="rId61" Type="http://schemas.openxmlformats.org/officeDocument/2006/relationships/hyperlink" Target="http://www.sec.gov/Archives/edgar/data/1048268/000119312516763155/d487615dex41.htm" TargetMode="External"/><Relationship Id="rId62" Type="http://schemas.openxmlformats.org/officeDocument/2006/relationships/hyperlink" Target="http://www.sec.gov/Archives/edgar/data/1048268/000119312518223804/d52704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2019-12-28T20:53:10Z</dcterms:created>
  <dcterms:modified xsi:type="dcterms:W3CDTF">2019-12-28T20:53:10Z</dcterms:modified>
</cp:coreProperties>
</file>