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UNITED STATES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514" w:type="dxa"/>
        <w:jc w:val="center"/>
        <w:tblInd w:w="0" w:type="dxa"/>
        <w:tblLayout w:type="fixed"/>
        <w:tblCellMar>
          <w:top w:w="28" w:type="dxa"/>
          <w:left w:w="28" w:type="dxa"/>
          <w:bottom w:w="28" w:type="dxa"/>
          <w:right w:w="28" w:type="dxa"/>
        </w:tblCellMar>
      </w:tblPr>
      <w:tblGrid>
        <w:gridCol w:w="315"/>
        <w:gridCol w:w="277"/>
        <w:gridCol w:w="278"/>
        <w:gridCol w:w="188"/>
        <w:gridCol w:w="188"/>
        <w:gridCol w:w="268"/>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20" w:after="283"/>
              <w:jc w:val="right"/>
              <w:rPr>
                <w:rFonts w:ascii="Times New Roman;serif" w:hAnsi="Times New Roman;serif"/>
                <w:b/>
                <w:color w:val="000000"/>
                <w:sz w:val="22"/>
              </w:rPr>
            </w:pPr>
            <w:r>
              <w:rPr>
                <w:rFonts w:ascii="Times New Roman;serif" w:hAnsi="Times New Roman;serif"/>
                <w:b/>
                <w:color w:val="000000"/>
                <w:sz w:val="22"/>
              </w:rPr>
              <w:t xml:space="preserve">FORM </w:t>
            </w:r>
          </w:p>
        </w:tc>
        <w:tc>
          <w:tcPr>
            <w:tcW w:w="6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220" w:after="283"/>
              <w:jc w:val="left"/>
              <w:rPr>
                <w:rFonts w:ascii="Times New Roman;serif" w:hAnsi="Times New Roman;serif"/>
                <w:b/>
                <w:color w:val="000000"/>
                <w:sz w:val="22"/>
              </w:rPr>
            </w:pPr>
            <w:r>
              <w:rPr>
                <w:rFonts w:ascii="Times New Roman;serif" w:hAnsi="Times New Roman;serif"/>
                <w:b/>
                <w:color w:val="000000"/>
                <w:sz w:val="22"/>
              </w:rPr>
              <w:t>10-Q</w:t>
            </w:r>
          </w:p>
        </w:tc>
      </w:tr>
    </w:tbl>
    <w:tbl>
      <w:tblPr>
        <w:tblW w:w="10205" w:type="dxa"/>
        <w:jc w:val="center"/>
        <w:tblInd w:w="0" w:type="dxa"/>
        <w:tblLayout w:type="fixed"/>
        <w:tblCellMar>
          <w:top w:w="28" w:type="dxa"/>
          <w:left w:w="28" w:type="dxa"/>
          <w:bottom w:w="28" w:type="dxa"/>
          <w:right w:w="28" w:type="dxa"/>
        </w:tblCellMar>
      </w:tblPr>
      <w:tblGrid>
        <w:gridCol w:w="127"/>
        <w:gridCol w:w="112"/>
        <w:gridCol w:w="112"/>
        <w:gridCol w:w="1533"/>
        <w:gridCol w:w="1533"/>
        <w:gridCol w:w="1533"/>
        <w:gridCol w:w="1533"/>
        <w:gridCol w:w="1533"/>
        <w:gridCol w:w="2189"/>
      </w:tblGrid>
      <w:tr>
        <w:trPr/>
        <w:tc>
          <w:tcPr>
            <w:tcW w:w="1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c>
      </w:tr>
      <w:tr>
        <w:trPr/>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4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For the quarterly period ended</w:t>
            </w:r>
          </w:p>
        </w:tc>
        <w:tc>
          <w:tcPr>
            <w:tcW w:w="5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w:t>
            </w:r>
          </w:p>
        </w:tc>
      </w:tr>
      <w:tr>
        <w:trPr/>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220" w:after="283"/>
              <w:jc w:val="center"/>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p>
        </w:tc>
      </w:tr>
    </w:tbl>
    <w:tbl>
      <w:tblPr>
        <w:tblW w:w="2984" w:type="dxa"/>
        <w:jc w:val="center"/>
        <w:tblInd w:w="0" w:type="dxa"/>
        <w:tblLayout w:type="fixed"/>
        <w:tblCellMar>
          <w:top w:w="28" w:type="dxa"/>
          <w:left w:w="28" w:type="dxa"/>
          <w:bottom w:w="28" w:type="dxa"/>
          <w:right w:w="28" w:type="dxa"/>
        </w:tblCellMar>
      </w:tblPr>
      <w:tblGrid>
        <w:gridCol w:w="743"/>
        <w:gridCol w:w="654"/>
        <w:gridCol w:w="658"/>
        <w:gridCol w:w="272"/>
        <w:gridCol w:w="272"/>
        <w:gridCol w:w="385"/>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20" w:after="283"/>
              <w:jc w:val="right"/>
              <w:rPr>
                <w:rFonts w:ascii="Times New Roman;serif" w:hAnsi="Times New Roman;serif"/>
                <w:b/>
                <w:color w:val="000000"/>
                <w:sz w:val="18"/>
              </w:rPr>
            </w:pPr>
            <w:r>
              <w:rPr>
                <w:rFonts w:ascii="Times New Roman;serif" w:hAnsi="Times New Roman;serif"/>
                <w:b/>
                <w:color w:val="000000"/>
                <w:sz w:val="18"/>
              </w:rPr>
              <w:t xml:space="preserve">Commission file number </w:t>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20" w:after="283"/>
              <w:jc w:val="left"/>
              <w:rPr>
                <w:rFonts w:ascii="Times New Roman;serif" w:hAnsi="Times New Roman;serif"/>
                <w:b/>
                <w:color w:val="000000"/>
                <w:sz w:val="18"/>
              </w:rPr>
            </w:pPr>
            <w:r>
              <w:rPr>
                <w:rFonts w:ascii="Times New Roman;serif" w:hAnsi="Times New Roman;serif"/>
                <w:b/>
                <w:color w:val="000000"/>
                <w:sz w:val="18"/>
              </w:rPr>
              <w:t>001-13783</w:t>
            </w:r>
          </w:p>
        </w:tc>
      </w:tr>
    </w:tbl>
    <w:p>
      <w:pPr>
        <w:pStyle w:val="TextBody"/>
        <w:bidi w:val="0"/>
        <w:spacing w:before="60" w:after="283"/>
        <w:jc w:val="center"/>
        <w:rPr/>
      </w:pPr>
      <w:r>
        <w:rPr/>
        <w:drawing>
          <wp:inline distT="0" distB="0" distL="0" distR="0">
            <wp:extent cx="12382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6191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IES Holdings,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220" w:after="283"/>
              <w:jc w:val="center"/>
              <w:rPr/>
            </w:pPr>
            <w:r>
              <w:rPr/>
            </w:r>
          </w:p>
          <w:p>
            <w:pPr>
              <w:pStyle w:val="TableContents"/>
              <w:bidi w:val="0"/>
              <w:spacing w:before="220" w:after="283"/>
              <w:jc w:val="center"/>
              <w:rPr/>
            </w:pPr>
            <w:r>
              <w:rPr/>
            </w:r>
          </w:p>
          <w:p>
            <w:pPr>
              <w:pStyle w:val="TableContents"/>
              <w:bidi w:val="0"/>
              <w:spacing w:before="0" w:after="0"/>
              <w:jc w:val="center"/>
              <w:rPr/>
            </w:pPr>
            <w:r>
              <w:rPr/>
            </w:r>
          </w:p>
        </w:tc>
      </w:tr>
    </w:tbl>
    <w:tbl>
      <w:tblPr>
        <w:tblW w:w="3855" w:type="dxa"/>
        <w:jc w:val="center"/>
        <w:tblInd w:w="0" w:type="dxa"/>
        <w:tblLayout w:type="fixed"/>
        <w:tblCellMar>
          <w:top w:w="28" w:type="dxa"/>
          <w:left w:w="28" w:type="dxa"/>
          <w:bottom w:w="28" w:type="dxa"/>
          <w:right w:w="28" w:type="dxa"/>
        </w:tblCellMar>
      </w:tblPr>
      <w:tblGrid>
        <w:gridCol w:w="854"/>
        <w:gridCol w:w="754"/>
        <w:gridCol w:w="762"/>
        <w:gridCol w:w="434"/>
        <w:gridCol w:w="434"/>
        <w:gridCol w:w="617"/>
      </w:tblGrid>
      <w:tr>
        <w:trPr/>
        <w:tc>
          <w:tcPr>
            <w:tcW w:w="8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76-0542208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13131 Dairy Ashford Rd., Suite 500, Sugar Land, Texas 77478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60" w:after="283"/>
        <w:jc w:val="center"/>
        <w:rPr/>
      </w:pPr>
      <w:r>
        <w:rPr>
          <w:rFonts w:ascii="Times New Roman;serif" w:hAnsi="Times New Roman;serif"/>
          <w:b/>
          <w:color w:val="000000"/>
          <w:sz w:val="18"/>
        </w:rPr>
        <w:t>Registrant’s telephone number, including area code:</w:t>
      </w:r>
      <w:r>
        <w:rPr>
          <w:color w:val="000000"/>
        </w:rPr>
        <w:t xml:space="preserve"> </w:t>
      </w:r>
      <w:r>
        <w:rPr>
          <w:rFonts w:ascii="Times New Roman;serif" w:hAnsi="Times New Roman;serif"/>
          <w:b/>
          <w:color w:val="000000"/>
          <w:sz w:val="18"/>
        </w:rPr>
        <w:t xml:space="preserve">(713) 860-1500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141" w:type="dxa"/>
        <w:jc w:val="center"/>
        <w:tblInd w:w="0" w:type="dxa"/>
        <w:tblLayout w:type="fixed"/>
        <w:tblCellMar>
          <w:top w:w="28" w:type="dxa"/>
          <w:left w:w="28" w:type="dxa"/>
          <w:bottom w:w="28" w:type="dxa"/>
          <w:right w:w="28" w:type="dxa"/>
        </w:tblCellMar>
      </w:tblPr>
      <w:tblGrid>
        <w:gridCol w:w="1209"/>
        <w:gridCol w:w="1064"/>
        <w:gridCol w:w="1071"/>
        <w:gridCol w:w="109"/>
        <w:gridCol w:w="109"/>
        <w:gridCol w:w="109"/>
        <w:gridCol w:w="454"/>
        <w:gridCol w:w="454"/>
        <w:gridCol w:w="456"/>
        <w:gridCol w:w="109"/>
        <w:gridCol w:w="109"/>
        <w:gridCol w:w="109"/>
        <w:gridCol w:w="1107"/>
        <w:gridCol w:w="1107"/>
        <w:gridCol w:w="1565"/>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Name of each exchange on which registered</w:t>
            </w:r>
          </w:p>
        </w:tc>
      </w:tr>
      <w:tr>
        <w:trPr/>
        <w:tc>
          <w:tcPr>
            <w:tcW w:w="3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IESC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NASDAQ Global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220" w:after="283"/>
              <w:jc w:val="center"/>
              <w:rPr/>
            </w:pPr>
            <w:r>
              <w:rPr/>
            </w:r>
          </w:p>
        </w:tc>
      </w:tr>
    </w:tbl>
    <w:p>
      <w:pPr>
        <w:pStyle w:val="TextBody"/>
        <w:bidi w:val="0"/>
        <w:spacing w:lineRule="auto" w:line="288" w:before="0" w:after="12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Times New Roman;serif" w:hAnsi="Times New Roman;serif"/>
          <w:b w:val="false"/>
          <w:color w:val="000000"/>
          <w:sz w:val="18"/>
        </w:rPr>
        <w:t>No</w:t>
      </w:r>
      <w:r>
        <w:rPr>
          <w:color w:val="000000"/>
        </w:rPr>
        <w:t xml:space="preserve"> ☐</w:t>
      </w:r>
    </w:p>
    <w:p>
      <w:pPr>
        <w:pStyle w:val="TextBody"/>
        <w:bidi w:val="0"/>
        <w:spacing w:lineRule="auto" w:line="288" w:before="0" w:after="120"/>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xml:space="preserve"> ☑ </w:t>
      </w:r>
      <w:r>
        <w:rPr>
          <w:rFonts w:ascii="Times New Roman;serif" w:hAnsi="Times New Roman;serif"/>
          <w:b w:val="false"/>
          <w:color w:val="000000"/>
          <w:sz w:val="18"/>
        </w:rPr>
        <w:t>No</w:t>
      </w:r>
      <w:r>
        <w:rPr>
          <w:color w:val="000000"/>
        </w:rPr>
        <w:t xml:space="preserve">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120"/>
        <w:jc w:val="both"/>
        <w:rPr/>
      </w:pPr>
      <w:r>
        <w:rPr>
          <w:rFonts w:ascii="Times New Roman;serif" w:hAnsi="Times New Roman;serif"/>
          <w:b w:val="false"/>
          <w:color w:val="000000"/>
          <w:sz w:val="18"/>
        </w:rPr>
        <w:t>Indicate by check mark whether the registrant is a shell company (as defined in Rule 12b-2 of the Exchange Act). Yes</w:t>
      </w:r>
      <w:r>
        <w:rPr>
          <w:color w:val="000000"/>
        </w:rPr>
        <w:t xml:space="preserve"> ☐ </w:t>
      </w:r>
      <w:r>
        <w:rPr>
          <w:rFonts w:ascii="Times New Roman;serif" w:hAnsi="Times New Roman;serif"/>
          <w:b w:val="false"/>
          <w:color w:val="000000"/>
          <w:sz w:val="18"/>
        </w:rPr>
        <w:t>No</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July 27, 2026, there were 19,924,356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40"/>
        <w:gridCol w:w="299"/>
        <w:gridCol w:w="299"/>
        <w:gridCol w:w="371"/>
        <w:gridCol w:w="336"/>
        <w:gridCol w:w="336"/>
        <w:gridCol w:w="2543"/>
        <w:gridCol w:w="2500"/>
        <w:gridCol w:w="2606"/>
        <w:gridCol w:w="167"/>
        <w:gridCol w:w="167"/>
        <w:gridCol w:w="241"/>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0"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2586a017e6c4396bdbb3025e8b4870e_10">
              <w:r>
                <w:rPr>
                  <w:rStyle w:val="InternetLink"/>
                  <w:rFonts w:ascii="Times New Roman;serif" w:hAnsi="Times New Roman;serif"/>
                  <w:b w:val="false"/>
                  <w:color w:val="0000FF"/>
                  <w:sz w:val="20"/>
                  <w:u w:val="single"/>
                </w:rPr>
                <w:t>PART I. FINANCIAL INFORMATION</w:t>
              </w:r>
            </w:hyperlink>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586a017e6c4396bdbb3025e8b4870e_13">
              <w:r>
                <w:rPr>
                  <w:rStyle w:val="InternetLink"/>
                  <w:rFonts w:ascii="Times New Roman;serif" w:hAnsi="Times New Roman;serif"/>
                  <w:b w:val="false"/>
                  <w:color w:val="0000FF"/>
                  <w:sz w:val="20"/>
                  <w:u w:val="single"/>
                </w:rPr>
                <w:t>Item 1. Financial Statements</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586a017e6c4396bdbb3025e8b4870e_16">
              <w:r>
                <w:rPr>
                  <w:rStyle w:val="InternetLink"/>
                  <w:rFonts w:ascii="Times New Roman;serif" w:hAnsi="Times New Roman;serif"/>
                  <w:b w:val="false"/>
                  <w:color w:val="0000FF"/>
                  <w:sz w:val="20"/>
                  <w:u w:val="single"/>
                </w:rPr>
                <w:t>Condensed Consolidated Balance Sheets as of June 30, 2026 and September 30, 2025</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586a017e6c4396bdbb3025e8b4870e_16">
              <w:r>
                <w:rPr>
                  <w:rStyle w:val="InternetLink"/>
                  <w:rFonts w:ascii="Times New Roman;serif" w:hAnsi="Times New Roman;serif"/>
                  <w:b w:val="false"/>
                  <w:strike w:val="false"/>
                  <w:dstrike w:val="false"/>
                  <w:color w:val="0000FF"/>
                  <w:sz w:val="20"/>
                  <w:u w:val="none"/>
                  <w:effect w:val="none"/>
                </w:rPr>
                <w:t>6</w:t>
              </w:r>
            </w:hyperlink>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586a017e6c4396bdbb3025e8b4870e_19">
              <w:r>
                <w:rPr>
                  <w:rStyle w:val="InternetLink"/>
                  <w:rFonts w:ascii="Times New Roman;serif" w:hAnsi="Times New Roman;serif"/>
                  <w:b w:val="false"/>
                  <w:color w:val="0000FF"/>
                  <w:sz w:val="20"/>
                  <w:u w:val="single"/>
                </w:rPr>
                <w:t>Condensed Consolidated Statements of Comprehensive Income for the Three Months Ended June 30, 2026 and 2025</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586a017e6c4396bdbb3025e8b4870e_19">
              <w:r>
                <w:rPr>
                  <w:rStyle w:val="InternetLink"/>
                  <w:rFonts w:ascii="Times New Roman;serif" w:hAnsi="Times New Roman;serif"/>
                  <w:b w:val="false"/>
                  <w:strike w:val="false"/>
                  <w:dstrike w:val="false"/>
                  <w:color w:val="0000FF"/>
                  <w:sz w:val="20"/>
                  <w:u w:val="none"/>
                  <w:effect w:val="none"/>
                </w:rPr>
                <w:t>7</w:t>
              </w:r>
            </w:hyperlink>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586a017e6c4396bdbb3025e8b4870e_22">
              <w:r>
                <w:rPr>
                  <w:rStyle w:val="InternetLink"/>
                  <w:rFonts w:ascii="Times New Roman;serif" w:hAnsi="Times New Roman;serif"/>
                  <w:b w:val="false"/>
                  <w:color w:val="0000FF"/>
                  <w:sz w:val="20"/>
                  <w:u w:val="single"/>
                </w:rPr>
                <w:t>Condensed Consolidated Statements of Comprehensive Income for the Nine Months Ended June 30, 2026 and 2025</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586a017e6c4396bdbb3025e8b4870e_22">
              <w:r>
                <w:rPr>
                  <w:rStyle w:val="InternetLink"/>
                  <w:rFonts w:ascii="Times New Roman;serif" w:hAnsi="Times New Roman;serif"/>
                  <w:b w:val="false"/>
                  <w:strike w:val="false"/>
                  <w:dstrike w:val="false"/>
                  <w:color w:val="0000FF"/>
                  <w:sz w:val="20"/>
                  <w:u w:val="none"/>
                  <w:effect w:val="none"/>
                </w:rPr>
                <w:t>8</w:t>
              </w:r>
            </w:hyperlink>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586a017e6c4396bdbb3025e8b4870e_25">
              <w:r>
                <w:rPr>
                  <w:rStyle w:val="InternetLink"/>
                  <w:rFonts w:ascii="Times New Roman;serif" w:hAnsi="Times New Roman;serif"/>
                  <w:b w:val="false"/>
                  <w:color w:val="000080"/>
                  <w:sz w:val="20"/>
                  <w:u w:val="single"/>
                </w:rPr>
                <w:t xml:space="preserve">Condensed Consolidated Statements of Stockholders’ Equity for the </w:t>
              </w:r>
            </w:hyperlink>
            <w:hyperlink w:anchor="if2586a017e6c4396bdbb3025e8b4870e_19">
              <w:r>
                <w:rPr>
                  <w:rStyle w:val="InternetLink"/>
                  <w:rFonts w:ascii="Times New Roman;serif" w:hAnsi="Times New Roman;serif"/>
                  <w:b w:val="false"/>
                  <w:color w:val="000080"/>
                  <w:sz w:val="20"/>
                  <w:u w:val="single"/>
                </w:rPr>
                <w:t>Three Months Ended June 30, 2026 and 2025</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586a017e6c4396bdbb3025e8b4870e_25">
              <w:r>
                <w:rPr>
                  <w:rStyle w:val="InternetLink"/>
                  <w:rFonts w:ascii="Times New Roman;serif" w:hAnsi="Times New Roman;serif"/>
                  <w:b w:val="false"/>
                  <w:strike w:val="false"/>
                  <w:dstrike w:val="false"/>
                  <w:color w:val="0000FF"/>
                  <w:sz w:val="20"/>
                  <w:u w:val="none"/>
                  <w:effect w:val="none"/>
                </w:rPr>
                <w:t>9</w:t>
              </w:r>
            </w:hyperlink>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586a017e6c4396bdbb3025e8b4870e_28">
              <w:r>
                <w:rPr>
                  <w:rStyle w:val="InternetLink"/>
                  <w:rFonts w:ascii="Times New Roman;serif" w:hAnsi="Times New Roman;serif"/>
                  <w:b w:val="false"/>
                  <w:color w:val="0000FF"/>
                  <w:sz w:val="20"/>
                  <w:u w:val="single"/>
                </w:rPr>
                <w:t>Condensed Consolidated Statements of Stockholders’ Equity for the Nine Months Ended June 30, 2026 and 2025</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586a017e6c4396bdbb3025e8b4870e_25">
              <w:r>
                <w:rPr>
                  <w:rStyle w:val="InternetLink"/>
                  <w:rFonts w:ascii="Times New Roman;serif" w:hAnsi="Times New Roman;serif"/>
                  <w:b w:val="false"/>
                  <w:strike w:val="false"/>
                  <w:dstrike w:val="false"/>
                  <w:color w:val="0000FF"/>
                  <w:sz w:val="20"/>
                  <w:u w:val="none"/>
                  <w:effect w:val="none"/>
                </w:rPr>
                <w:t>9</w:t>
              </w:r>
            </w:hyperlink>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2586a017e6c4396bdbb3025e8b4870e_31">
              <w:r>
                <w:rPr>
                  <w:rStyle w:val="InternetLink"/>
                  <w:rFonts w:ascii="Times New Roman;serif" w:hAnsi="Times New Roman;serif"/>
                  <w:b w:val="false"/>
                  <w:color w:val="0000FF"/>
                  <w:sz w:val="20"/>
                  <w:u w:val="single"/>
                </w:rPr>
                <w:t>Condensed Consolidated Statements of Cash Flows for the Nine Months Ended June 30, 2026 and 2025</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586a017e6c4396bdbb3025e8b4870e_31">
              <w:r>
                <w:rPr>
                  <w:rStyle w:val="InternetLink"/>
                  <w:rFonts w:ascii="Times New Roman;serif" w:hAnsi="Times New Roman;serif"/>
                  <w:b w:val="false"/>
                  <w:strike w:val="false"/>
                  <w:dstrike w:val="false"/>
                  <w:color w:val="0000FF"/>
                  <w:sz w:val="20"/>
                  <w:u w:val="none"/>
                  <w:effect w:val="none"/>
                </w:rPr>
                <w:t>10</w:t>
              </w:r>
            </w:hyperlink>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586a017e6c4396bdbb3025e8b4870e_34">
              <w:r>
                <w:rPr>
                  <w:rStyle w:val="InternetLink"/>
                  <w:rFonts w:ascii="Times New Roman;serif" w:hAnsi="Times New Roman;serif"/>
                  <w:b w:val="false"/>
                  <w:color w:val="0000FF"/>
                  <w:sz w:val="20"/>
                  <w:u w:val="single"/>
                </w:rPr>
                <w:t>Notes to Condensed Consolidated Financial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586a017e6c4396bdbb3025e8b4870e_34">
              <w:r>
                <w:rPr>
                  <w:rStyle w:val="InternetLink"/>
                  <w:rFonts w:ascii="Times New Roman;serif" w:hAnsi="Times New Roman;serif"/>
                  <w:b w:val="false"/>
                  <w:strike w:val="false"/>
                  <w:dstrike w:val="false"/>
                  <w:color w:val="0000FF"/>
                  <w:sz w:val="20"/>
                  <w:u w:val="none"/>
                  <w:effect w:val="none"/>
                </w:rPr>
                <w:t>11</w:t>
              </w:r>
            </w:hyperlink>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586a017e6c4396bdbb3025e8b4870e_100">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586a017e6c4396bdbb3025e8b4870e_100">
              <w:r>
                <w:rPr>
                  <w:rStyle w:val="InternetLink"/>
                  <w:rFonts w:ascii="Times New Roman;serif" w:hAnsi="Times New Roman;serif"/>
                  <w:b w:val="false"/>
                  <w:strike w:val="false"/>
                  <w:dstrike w:val="false"/>
                  <w:color w:val="0000FF"/>
                  <w:sz w:val="20"/>
                  <w:u w:val="none"/>
                  <w:effect w:val="none"/>
                </w:rPr>
                <w:t>26</w:t>
              </w:r>
            </w:hyperlink>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586a017e6c4396bdbb3025e8b4870e_163">
              <w:r>
                <w:rPr>
                  <w:rStyle w:val="InternetLink"/>
                  <w:rFonts w:ascii="Times New Roman;serif" w:hAnsi="Times New Roman;serif"/>
                  <w:b w:val="false"/>
                  <w:color w:val="0000FF"/>
                  <w:sz w:val="20"/>
                  <w:u w:val="single"/>
                </w:rPr>
                <w:t>Item 3. 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586a017e6c4396bdbb3025e8b4870e_163">
              <w:r>
                <w:rPr>
                  <w:rStyle w:val="InternetLink"/>
                  <w:rFonts w:ascii="Times New Roman;serif" w:hAnsi="Times New Roman;serif"/>
                  <w:b w:val="false"/>
                  <w:strike w:val="false"/>
                  <w:dstrike w:val="false"/>
                  <w:color w:val="0000FF"/>
                  <w:sz w:val="20"/>
                  <w:u w:val="none"/>
                  <w:effect w:val="none"/>
                </w:rPr>
                <w:t>38</w:t>
              </w:r>
            </w:hyperlink>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586a017e6c4396bdbb3025e8b4870e_166">
              <w:r>
                <w:rPr>
                  <w:rStyle w:val="InternetLink"/>
                  <w:rFonts w:ascii="Times New Roman;serif" w:hAnsi="Times New Roman;serif"/>
                  <w:b w:val="false"/>
                  <w:color w:val="0000FF"/>
                  <w:sz w:val="20"/>
                  <w:u w:val="single"/>
                </w:rPr>
                <w:t>Item 4. 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586a017e6c4396bdbb3025e8b4870e_166">
              <w:r>
                <w:rPr>
                  <w:rStyle w:val="InternetLink"/>
                  <w:rFonts w:ascii="Times New Roman;serif" w:hAnsi="Times New Roman;serif"/>
                  <w:b w:val="false"/>
                  <w:strike w:val="false"/>
                  <w:dstrike w:val="false"/>
                  <w:color w:val="0000FF"/>
                  <w:sz w:val="20"/>
                  <w:u w:val="none"/>
                  <w:effect w:val="none"/>
                </w:rPr>
                <w:t>38</w:t>
              </w:r>
            </w:hyperlink>
          </w:p>
        </w:tc>
      </w:tr>
      <w:tr>
        <w:trPr/>
        <w:tc>
          <w:tcPr>
            <w:tcW w:w="9630"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2586a017e6c4396bdbb3025e8b4870e_169">
              <w:r>
                <w:rPr>
                  <w:rStyle w:val="InternetLink"/>
                  <w:rFonts w:ascii="Times New Roman;serif" w:hAnsi="Times New Roman;serif"/>
                  <w:b w:val="false"/>
                  <w:color w:val="0000FF"/>
                  <w:sz w:val="20"/>
                  <w:u w:val="single"/>
                </w:rPr>
                <w:t>PART II. 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586a017e6c4396bdbb3025e8b4870e_172">
              <w:r>
                <w:rPr>
                  <w:rStyle w:val="InternetLink"/>
                  <w:rFonts w:ascii="Times New Roman;serif" w:hAnsi="Times New Roman;serif"/>
                  <w:b w:val="false"/>
                  <w:color w:val="0000FF"/>
                  <w:sz w:val="20"/>
                  <w:u w:val="single"/>
                </w:rPr>
                <w:t>Item 1. 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586a017e6c4396bdbb3025e8b4870e_172">
              <w:r>
                <w:rPr>
                  <w:rStyle w:val="InternetLink"/>
                  <w:rFonts w:ascii="Times New Roman;serif" w:hAnsi="Times New Roman;serif"/>
                  <w:b w:val="false"/>
                  <w:strike w:val="false"/>
                  <w:dstrike w:val="false"/>
                  <w:color w:val="0000FF"/>
                  <w:sz w:val="20"/>
                  <w:u w:val="none"/>
                  <w:effect w:val="none"/>
                </w:rPr>
                <w:t>40</w:t>
              </w:r>
            </w:hyperlink>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586a017e6c4396bdbb3025e8b4870e_175">
              <w:r>
                <w:rPr>
                  <w:rStyle w:val="InternetLink"/>
                  <w:rFonts w:ascii="Times New Roman;serif" w:hAnsi="Times New Roman;serif"/>
                  <w:b w:val="false"/>
                  <w:color w:val="0000FF"/>
                  <w:sz w:val="20"/>
                  <w:u w:val="single"/>
                </w:rPr>
                <w:t>Item 1A. 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586a017e6c4396bdbb3025e8b4870e_175">
              <w:r>
                <w:rPr>
                  <w:rStyle w:val="InternetLink"/>
                  <w:rFonts w:ascii="Times New Roman;serif" w:hAnsi="Times New Roman;serif"/>
                  <w:b w:val="false"/>
                  <w:strike w:val="false"/>
                  <w:dstrike w:val="false"/>
                  <w:color w:val="0000FF"/>
                  <w:sz w:val="20"/>
                  <w:u w:val="none"/>
                  <w:effect w:val="none"/>
                </w:rPr>
                <w:t>40</w:t>
              </w:r>
            </w:hyperlink>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586a017e6c4396bdbb3025e8b4870e_178">
              <w:r>
                <w:rPr>
                  <w:rStyle w:val="InternetLink"/>
                  <w:rFonts w:ascii="Times New Roman;serif" w:hAnsi="Times New Roman;serif"/>
                  <w:b w:val="false"/>
                  <w:color w:val="0000FF"/>
                  <w:sz w:val="20"/>
                  <w:u w:val="single"/>
                </w:rPr>
                <w:t>Item 2. Unregistered Sales of Equity Securities and Use of Proceeds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586a017e6c4396bdbb3025e8b4870e_178">
              <w:r>
                <w:rPr>
                  <w:rStyle w:val="InternetLink"/>
                  <w:rFonts w:ascii="Times New Roman;serif" w:hAnsi="Times New Roman;serif"/>
                  <w:b w:val="false"/>
                  <w:strike w:val="false"/>
                  <w:dstrike w:val="false"/>
                  <w:color w:val="0000FF"/>
                  <w:sz w:val="20"/>
                  <w:u w:val="none"/>
                  <w:effect w:val="none"/>
                </w:rPr>
                <w:t>40</w:t>
              </w:r>
            </w:hyperlink>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586a017e6c4396bdbb3025e8b4870e_181">
              <w:r>
                <w:rPr>
                  <w:rStyle w:val="InternetLink"/>
                  <w:rFonts w:ascii="Times New Roman;serif" w:hAnsi="Times New Roman;serif"/>
                  <w:b w:val="false"/>
                  <w:color w:val="0000FF"/>
                  <w:sz w:val="20"/>
                  <w:u w:val="single"/>
                </w:rPr>
                <w:t>Item 3. Defaults Upon Senior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586a017e6c4396bdbb3025e8b4870e_181">
              <w:r>
                <w:rPr>
                  <w:rStyle w:val="InternetLink"/>
                  <w:rFonts w:ascii="Times New Roman;serif" w:hAnsi="Times New Roman;serif"/>
                  <w:b w:val="false"/>
                  <w:strike w:val="false"/>
                  <w:dstrike w:val="false"/>
                  <w:color w:val="0000FF"/>
                  <w:sz w:val="20"/>
                  <w:u w:val="none"/>
                  <w:effect w:val="none"/>
                </w:rPr>
                <w:t>40</w:t>
              </w:r>
            </w:hyperlink>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586a017e6c4396bdbb3025e8b4870e_184">
              <w:r>
                <w:rPr>
                  <w:rStyle w:val="InternetLink"/>
                  <w:rFonts w:ascii="Times New Roman;serif" w:hAnsi="Times New Roman;serif"/>
                  <w:b w:val="false"/>
                  <w:color w:val="0000FF"/>
                  <w:sz w:val="20"/>
                  <w:u w:val="single"/>
                </w:rPr>
                <w:t>Item 4. 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586a017e6c4396bdbb3025e8b4870e_184">
              <w:r>
                <w:rPr>
                  <w:rStyle w:val="InternetLink"/>
                  <w:rFonts w:ascii="Times New Roman;serif" w:hAnsi="Times New Roman;serif"/>
                  <w:b w:val="false"/>
                  <w:strike w:val="false"/>
                  <w:dstrike w:val="false"/>
                  <w:color w:val="0000FF"/>
                  <w:sz w:val="20"/>
                  <w:u w:val="none"/>
                  <w:effect w:val="none"/>
                </w:rPr>
                <w:t>40</w:t>
              </w:r>
            </w:hyperlink>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586a017e6c4396bdbb3025e8b4870e_187">
              <w:r>
                <w:rPr>
                  <w:rStyle w:val="InternetLink"/>
                  <w:rFonts w:ascii="Times New Roman;serif" w:hAnsi="Times New Roman;serif"/>
                  <w:b w:val="false"/>
                  <w:color w:val="0000FF"/>
                  <w:sz w:val="20"/>
                  <w:u w:val="single"/>
                </w:rPr>
                <w:t>Item 5. 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586a017e6c4396bdbb3025e8b4870e_187">
              <w:r>
                <w:rPr>
                  <w:rStyle w:val="InternetLink"/>
                  <w:rFonts w:ascii="Times New Roman;serif" w:hAnsi="Times New Roman;serif"/>
                  <w:b w:val="false"/>
                  <w:strike w:val="false"/>
                  <w:dstrike w:val="false"/>
                  <w:color w:val="0000FF"/>
                  <w:sz w:val="20"/>
                  <w:u w:val="none"/>
                  <w:effect w:val="none"/>
                </w:rPr>
                <w:t>40</w:t>
              </w:r>
            </w:hyperlink>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586a017e6c4396bdbb3025e8b4870e_190">
              <w:r>
                <w:rPr>
                  <w:rStyle w:val="InternetLink"/>
                  <w:rFonts w:ascii="Times New Roman;serif" w:hAnsi="Times New Roman;serif"/>
                  <w:b w:val="false"/>
                  <w:color w:val="0000FF"/>
                  <w:sz w:val="20"/>
                  <w:u w:val="single"/>
                </w:rPr>
                <w:t>Item 6. 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586a017e6c4396bdbb3025e8b4870e_190">
              <w:r>
                <w:rPr>
                  <w:rStyle w:val="InternetLink"/>
                  <w:rFonts w:ascii="Times New Roman;serif" w:hAnsi="Times New Roman;serif"/>
                  <w:b w:val="false"/>
                  <w:strike w:val="false"/>
                  <w:dstrike w:val="false"/>
                  <w:color w:val="0000FF"/>
                  <w:sz w:val="20"/>
                  <w:u w:val="none"/>
                  <w:effect w:val="none"/>
                </w:rPr>
                <w:t>41</w:t>
              </w:r>
            </w:hyperlink>
          </w:p>
        </w:tc>
      </w:tr>
      <w:tr>
        <w:trPr/>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586a017e6c4396bdbb3025e8b4870e_193">
              <w:r>
                <w:rPr>
                  <w:rStyle w:val="InternetLink"/>
                  <w:rFonts w:ascii="Times New Roman;serif" w:hAnsi="Times New Roman;serif"/>
                  <w:b w:val="false"/>
                  <w:color w:val="0000FF"/>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586a017e6c4396bdbb3025e8b4870e_193">
              <w:r>
                <w:rPr>
                  <w:rStyle w:val="InternetLink"/>
                  <w:rFonts w:ascii="Times New Roman;serif" w:hAnsi="Times New Roman;serif"/>
                  <w:b w:val="false"/>
                  <w:strike w:val="false"/>
                  <w:dstrike w:val="false"/>
                  <w:color w:val="0000FF"/>
                  <w:sz w:val="20"/>
                  <w:u w:val="none"/>
                  <w:effect w:val="none"/>
                </w:rPr>
                <w:t>42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DEFINITIONS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this Quarterly Report on Form 10-Q, the words “IES”, the “Company”, the “Registrant”, “we”, “our”, “ours” and “us” refer to IES Holdings, Inc. and, except as otherwise specified herein, to our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DISCLOSURE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pStyle w:val="TextBody"/>
        <w:bidi w:val="0"/>
        <w:spacing w:before="0" w:after="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a general reduction in the demand for our products or services;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 xml:space="preserve">changes in general economic conditions, including supply chain constraints, high rates of inflation, changes in consumer sentiment, elevated interest rates, and market disruptions resulting from a number of factors, including deterioration of global trade relationships, geo-political conflicts or political unrest; </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competition in the industries in which we operate, both from third parties and former employees, which could result in the loss of one or more customers or lead to lower margins on new projects;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 xml:space="preserve">the use of estimates in placing bids on fixed price contracts, variations from estimated contract costs, our ability to successfully manage and execute projects, the cost and availability of qualified labor and the ability to maintain positive labor relations, and our ability to pass along increases in the cost of commodities used in our business, in particular, copper, aluminum, steel, fuel, electronic components and certain plastics; </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our ability to enter into, and the terms of, future contracts;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existence of a small number of customers from whom we derive a meaningful portion of our revenues;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reliance on third parties, including subcontractors and suppliers, to complete our projects;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inability to carry out plans and strategies as expected, including the inability to identify and complete acquisitions that meet our investment criteria in furtherance of our corporate strategy, or the subsequent underperformance of those acquisitions;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challenges integrating new businesses into the Company or new types of work, products or processes into our segments;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backlog that may not be realized or may not result in profits;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 xml:space="preserve">failure to adequately recover on contract change orders or claims against customers; </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closures or sales of our facilities resulting in significant future charges, including potential warranty losses or other unexpected liabilities, or a significant disruption of our operations;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impact of future epidemics or pandemics on our business, including the potential for new or continued job site closures or work stoppages, supply chain disruptions, delays in awarding new project bids, construction delays, reduced demand for our services, delays in our ability to collect from our customers, or illness of management or other employees;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an increased cost of surety bonds affecting margins on work and the potential for our surety providers to refuse bonding or require additional collateral at their discretion;</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impact of seasonality, adverse weather conditions, and climate change;</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fluctuations in operating activity due to factors such as cyclicality, downturns in levels of construction or the housing market, and differing regional economic conditions;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difficulties in managing our billings and collections;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accidents resulting from the physical hazards associated with our work and the potential for accidents;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possibility that our current insurance coverage may not be adequate or that we may not be able to obtain policies at acceptable rates;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effect of litigation, claims and contingencies, including warranty losses, damages or other latent defect claims in excess of our existing reserves and accruals;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costs and liabilities under existing or potential future laws and regulations, including those laws and regulations related to the environment and climate change, as well as the inability to transfer, renew and obtain electrical and other professional licenses;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interruptions to our information systems and cyber security or data breaches;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expenditures to conduct environmental remediation activities required by certain environmental laws and regulations;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loss of key personnel, ineffective transition of new management, or general labor constraints;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credit and capital market conditions, including changes in interest rates that affect the cost of construction financing and mortgages, and the inability of some of our customers to obtain sufficient financing at acceptable rates, which could lead to project delays or cancellations;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 xml:space="preserve">limitations on our ability to access capital markets and generate cash from operations to fund our working capital needs and capital expenditures, to complete acquisitions, and for debt service; </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impact on our effective tax rate or cash paid for taxes from changes in tax positions we have taken or changes in tax laws;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difficulty in fulfilling the covenant terms of our revolving credit facility, including liquidity and other financial requirements, which could result in a default and acceleration of any indebtedness under such revolving credit facility;</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reliance on certain estimates and assumptions that may differ from actual results in the preparation of our financial statements and the impacts of new accounting, control and operating procedures resulting from new accounting pronouncements;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uncertainties inherent in the use of percentage-of-completion accounting, which could result in the reduction or elimination of previously recorded revenues and profits;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recognition of potential goodwill, long-lived assets and other investment impairments;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existence of a controlling shareholder, who has the ability to take action not aligned with other shareholders or to dispose of all or a significant portion of the shares of our common stock it holds, which may trigger certain change of control provisions in a number of our material agreements, including our financing and surety arrangements and our executive severance plan;</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relatively low trading volume of our common stock, which could increase the volatility of our stock price and could make it more difficult for shareholders to sell a substantial number of shares for the same price at which shareholders could sell a smaller number of shares;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possibility that we issue additional shares of common stock, preferred stock or convertible securities that will dilute the percentage ownership interest of existing stockholders and may dilute the value per share of our common stock;</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potential for substantial sales of our common stock, which could adversely affect our stock price;</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impact of increasing scrutiny and changing expectations from investors and customers, or new or changing regulations, with respect to risks related to climate change or environmental impacts of our operations;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cost or effort required for our shareholders to bring certain claims or actions against us, as a result of our designation of the Court of Chancery of the State of Delaware as the sole and exclusive forum for certain types of actions and proceedings;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possibility that our internal controls over financial reporting and our disclosure controls and procedures may not prevent all possible errors that could occur; and</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other factors discussed elsewhere in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understand that the foregoing, as well as other risk factors discussed in this document, including those listed in Part I, Item 1A of our Annual Report on Form 10-K for the fiscal year ended September 30, 2025, could cause future outcomes to differ materially from those experienced previously or those expressed in such forward-looking statements. We undertake no obligation to publicly update or revise any information, including information concerning our controlling shareholder,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Private Securities Litigation Reform Act of 1995 and should be evaluated in the context of the estimates, assumptions, uncertainties and risks described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2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4"/>
        <w:gridCol w:w="143"/>
        <w:gridCol w:w="143"/>
        <w:gridCol w:w="143"/>
        <w:gridCol w:w="143"/>
        <w:gridCol w:w="143"/>
        <w:gridCol w:w="360"/>
        <w:gridCol w:w="360"/>
        <w:gridCol w:w="360"/>
        <w:gridCol w:w="1602"/>
        <w:gridCol w:w="1573"/>
        <w:gridCol w:w="1554"/>
        <w:gridCol w:w="109"/>
        <w:gridCol w:w="109"/>
        <w:gridCol w:w="109"/>
        <w:gridCol w:w="211"/>
        <w:gridCol w:w="976"/>
        <w:gridCol w:w="109"/>
        <w:gridCol w:w="109"/>
        <w:gridCol w:w="109"/>
        <w:gridCol w:w="109"/>
        <w:gridCol w:w="211"/>
        <w:gridCol w:w="976"/>
        <w:gridCol w:w="109"/>
        <w:gridCol w:w="109"/>
        <w:gridCol w:w="162"/>
      </w:tblGrid>
      <w:tr>
        <w:trPr/>
        <w:tc>
          <w:tcPr>
            <w:tcW w:w="16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net of allowance of $4,380 and $4,340,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1,534,595 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2,275,716 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1,595,661 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costs and estimated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941,728 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1,041,203 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10,000,000 shares authorized, none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100,000,000 shares authorized; 22,049,529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19,924,339 and 19,854,463 outstanding,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2,125,190 and 2,195,066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1,229,242 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2,275,716 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1,595,661 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Information)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50"/>
        <w:gridCol w:w="649"/>
        <w:gridCol w:w="649"/>
        <w:gridCol w:w="750"/>
        <w:gridCol w:w="742"/>
        <w:gridCol w:w="739"/>
        <w:gridCol w:w="737"/>
        <w:gridCol w:w="737"/>
        <w:gridCol w:w="737"/>
        <w:gridCol w:w="109"/>
        <w:gridCol w:w="109"/>
        <w:gridCol w:w="109"/>
        <w:gridCol w:w="211"/>
        <w:gridCol w:w="976"/>
        <w:gridCol w:w="109"/>
        <w:gridCol w:w="109"/>
        <w:gridCol w:w="109"/>
        <w:gridCol w:w="109"/>
        <w:gridCol w:w="211"/>
        <w:gridCol w:w="826"/>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1,242,697 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890,158 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239,597 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2231"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23"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 and equity method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79,287 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IES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stockholders of IES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7"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the computation of earnings per share: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19,924,154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19,856,289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20,197,707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20,104,257</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75"/>
        <w:gridCol w:w="473"/>
        <w:gridCol w:w="473"/>
        <w:gridCol w:w="581"/>
        <w:gridCol w:w="540"/>
        <w:gridCol w:w="526"/>
        <w:gridCol w:w="513"/>
        <w:gridCol w:w="513"/>
        <w:gridCol w:w="513"/>
        <w:gridCol w:w="109"/>
        <w:gridCol w:w="109"/>
        <w:gridCol w:w="109"/>
        <w:gridCol w:w="211"/>
        <w:gridCol w:w="976"/>
        <w:gridCol w:w="109"/>
        <w:gridCol w:w="109"/>
        <w:gridCol w:w="109"/>
        <w:gridCol w:w="109"/>
        <w:gridCol w:w="211"/>
        <w:gridCol w:w="976"/>
        <w:gridCol w:w="109"/>
        <w:gridCol w:w="109"/>
        <w:gridCol w:w="109"/>
        <w:gridCol w:w="109"/>
        <w:gridCol w:w="109"/>
        <w:gridCol w:w="109"/>
        <w:gridCol w:w="109"/>
        <w:gridCol w:w="109"/>
        <w:gridCol w:w="109"/>
        <w:gridCol w:w="109"/>
        <w:gridCol w:w="109"/>
        <w:gridCol w:w="109"/>
        <w:gridCol w:w="109"/>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 and equity method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IES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stockholders of IES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the computation of earnings per share: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19,912,529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19,938,694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20,186,894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20,188,035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146" w:type="dxa"/>
        <w:jc w:val="center"/>
        <w:tblInd w:w="0" w:type="dxa"/>
        <w:tblLayout w:type="fixed"/>
        <w:tblCellMar>
          <w:top w:w="28" w:type="dxa"/>
          <w:left w:w="28" w:type="dxa"/>
          <w:bottom w:w="28" w:type="dxa"/>
          <w:right w:w="28" w:type="dxa"/>
        </w:tblCellMar>
      </w:tblPr>
      <w:tblGrid>
        <w:gridCol w:w="175"/>
        <w:gridCol w:w="154"/>
        <w:gridCol w:w="154"/>
        <w:gridCol w:w="429"/>
        <w:gridCol w:w="354"/>
        <w:gridCol w:w="358"/>
        <w:gridCol w:w="480"/>
        <w:gridCol w:w="481"/>
        <w:gridCol w:w="186"/>
        <w:gridCol w:w="109"/>
        <w:gridCol w:w="109"/>
        <w:gridCol w:w="109"/>
        <w:gridCol w:w="112"/>
        <w:gridCol w:w="112"/>
        <w:gridCol w:w="112"/>
        <w:gridCol w:w="210"/>
        <w:gridCol w:w="211"/>
        <w:gridCol w:w="116"/>
        <w:gridCol w:w="109"/>
        <w:gridCol w:w="109"/>
        <w:gridCol w:w="109"/>
        <w:gridCol w:w="443"/>
        <w:gridCol w:w="443"/>
        <w:gridCol w:w="186"/>
        <w:gridCol w:w="109"/>
        <w:gridCol w:w="109"/>
        <w:gridCol w:w="109"/>
        <w:gridCol w:w="112"/>
        <w:gridCol w:w="112"/>
        <w:gridCol w:w="112"/>
        <w:gridCol w:w="375"/>
        <w:gridCol w:w="376"/>
        <w:gridCol w:w="116"/>
        <w:gridCol w:w="109"/>
        <w:gridCol w:w="109"/>
        <w:gridCol w:w="109"/>
        <w:gridCol w:w="140"/>
        <w:gridCol w:w="140"/>
        <w:gridCol w:w="140"/>
        <w:gridCol w:w="368"/>
        <w:gridCol w:w="368"/>
        <w:gridCol w:w="141"/>
        <w:gridCol w:w="109"/>
        <w:gridCol w:w="109"/>
        <w:gridCol w:w="109"/>
        <w:gridCol w:w="120"/>
        <w:gridCol w:w="120"/>
        <w:gridCol w:w="120"/>
        <w:gridCol w:w="435"/>
        <w:gridCol w:w="436"/>
        <w:gridCol w:w="121"/>
        <w:gridCol w:w="109"/>
        <w:gridCol w:w="109"/>
        <w:gridCol w:w="109"/>
        <w:gridCol w:w="168"/>
        <w:gridCol w:w="168"/>
        <w:gridCol w:w="168"/>
        <w:gridCol w:w="435"/>
        <w:gridCol w:w="436"/>
        <w:gridCol w:w="241"/>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2" w:type="dxa"/>
            <w:gridSpan w:val="5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2026</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vMerge w:val="restart"/>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6"/>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vMerge w:val="continue"/>
            <w:tcBorders>
              <w:top w:val="single" w:sz="8" w:space="0" w:color="000000"/>
            </w:tcBorders>
            <w:shd w:fill="FFFFFF" w:val="clear"/>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6"/>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2026</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(2,125,642)</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(139,933)</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210,776 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1,001,615 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1,072,678 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under compensation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noncontrolling interest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IES Holdings, Inc.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2026</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(2,125,190)</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(140,026)</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214,554 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1,154,494 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1,229,242 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876" w:type="dxa"/>
        <w:jc w:val="center"/>
        <w:tblInd w:w="0" w:type="dxa"/>
        <w:tblLayout w:type="fixed"/>
        <w:tblCellMar>
          <w:top w:w="28" w:type="dxa"/>
          <w:left w:w="28" w:type="dxa"/>
          <w:bottom w:w="28" w:type="dxa"/>
          <w:right w:w="28" w:type="dxa"/>
        </w:tblCellMar>
      </w:tblPr>
      <w:tblGrid>
        <w:gridCol w:w="175"/>
        <w:gridCol w:w="154"/>
        <w:gridCol w:w="154"/>
        <w:gridCol w:w="584"/>
        <w:gridCol w:w="344"/>
        <w:gridCol w:w="213"/>
        <w:gridCol w:w="480"/>
        <w:gridCol w:w="481"/>
        <w:gridCol w:w="186"/>
        <w:gridCol w:w="109"/>
        <w:gridCol w:w="109"/>
        <w:gridCol w:w="109"/>
        <w:gridCol w:w="112"/>
        <w:gridCol w:w="112"/>
        <w:gridCol w:w="112"/>
        <w:gridCol w:w="210"/>
        <w:gridCol w:w="211"/>
        <w:gridCol w:w="116"/>
        <w:gridCol w:w="109"/>
        <w:gridCol w:w="109"/>
        <w:gridCol w:w="109"/>
        <w:gridCol w:w="443"/>
        <w:gridCol w:w="443"/>
        <w:gridCol w:w="186"/>
        <w:gridCol w:w="109"/>
        <w:gridCol w:w="109"/>
        <w:gridCol w:w="109"/>
        <w:gridCol w:w="112"/>
        <w:gridCol w:w="112"/>
        <w:gridCol w:w="112"/>
        <w:gridCol w:w="375"/>
        <w:gridCol w:w="376"/>
        <w:gridCol w:w="116"/>
        <w:gridCol w:w="109"/>
        <w:gridCol w:w="109"/>
        <w:gridCol w:w="109"/>
        <w:gridCol w:w="140"/>
        <w:gridCol w:w="140"/>
        <w:gridCol w:w="140"/>
        <w:gridCol w:w="368"/>
        <w:gridCol w:w="368"/>
        <w:gridCol w:w="141"/>
        <w:gridCol w:w="109"/>
        <w:gridCol w:w="109"/>
        <w:gridCol w:w="109"/>
        <w:gridCol w:w="120"/>
        <w:gridCol w:w="120"/>
        <w:gridCol w:w="120"/>
        <w:gridCol w:w="368"/>
        <w:gridCol w:w="368"/>
        <w:gridCol w:w="121"/>
        <w:gridCol w:w="109"/>
        <w:gridCol w:w="109"/>
        <w:gridCol w:w="109"/>
        <w:gridCol w:w="168"/>
        <w:gridCol w:w="168"/>
        <w:gridCol w:w="168"/>
        <w:gridCol w:w="368"/>
        <w:gridCol w:w="368"/>
        <w:gridCol w:w="241"/>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2" w:type="dxa"/>
            <w:gridSpan w:val="5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2025</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(2,161,213)</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(122,372)</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204,278 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623,657 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705,783 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noncontrolling interest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IES Holdings, Inc.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9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(2,195,113)</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(127,700)</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208,594 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700,327 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781,441 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146" w:type="dxa"/>
        <w:jc w:val="center"/>
        <w:tblInd w:w="0" w:type="dxa"/>
        <w:tblLayout w:type="fixed"/>
        <w:tblCellMar>
          <w:top w:w="28" w:type="dxa"/>
          <w:left w:w="28" w:type="dxa"/>
          <w:bottom w:w="28" w:type="dxa"/>
          <w:right w:w="28" w:type="dxa"/>
        </w:tblCellMar>
      </w:tblPr>
      <w:tblGrid>
        <w:gridCol w:w="175"/>
        <w:gridCol w:w="154"/>
        <w:gridCol w:w="154"/>
        <w:gridCol w:w="465"/>
        <w:gridCol w:w="390"/>
        <w:gridCol w:w="286"/>
        <w:gridCol w:w="480"/>
        <w:gridCol w:w="481"/>
        <w:gridCol w:w="186"/>
        <w:gridCol w:w="109"/>
        <w:gridCol w:w="109"/>
        <w:gridCol w:w="109"/>
        <w:gridCol w:w="112"/>
        <w:gridCol w:w="112"/>
        <w:gridCol w:w="112"/>
        <w:gridCol w:w="210"/>
        <w:gridCol w:w="211"/>
        <w:gridCol w:w="116"/>
        <w:gridCol w:w="109"/>
        <w:gridCol w:w="109"/>
        <w:gridCol w:w="109"/>
        <w:gridCol w:w="443"/>
        <w:gridCol w:w="443"/>
        <w:gridCol w:w="186"/>
        <w:gridCol w:w="109"/>
        <w:gridCol w:w="109"/>
        <w:gridCol w:w="109"/>
        <w:gridCol w:w="112"/>
        <w:gridCol w:w="112"/>
        <w:gridCol w:w="112"/>
        <w:gridCol w:w="375"/>
        <w:gridCol w:w="376"/>
        <w:gridCol w:w="116"/>
        <w:gridCol w:w="109"/>
        <w:gridCol w:w="109"/>
        <w:gridCol w:w="109"/>
        <w:gridCol w:w="140"/>
        <w:gridCol w:w="140"/>
        <w:gridCol w:w="140"/>
        <w:gridCol w:w="368"/>
        <w:gridCol w:w="368"/>
        <w:gridCol w:w="141"/>
        <w:gridCol w:w="109"/>
        <w:gridCol w:w="109"/>
        <w:gridCol w:w="109"/>
        <w:gridCol w:w="120"/>
        <w:gridCol w:w="120"/>
        <w:gridCol w:w="120"/>
        <w:gridCol w:w="435"/>
        <w:gridCol w:w="436"/>
        <w:gridCol w:w="121"/>
        <w:gridCol w:w="109"/>
        <w:gridCol w:w="109"/>
        <w:gridCol w:w="109"/>
        <w:gridCol w:w="168"/>
        <w:gridCol w:w="168"/>
        <w:gridCol w:w="168"/>
        <w:gridCol w:w="435"/>
        <w:gridCol w:w="436"/>
        <w:gridCol w:w="241"/>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2" w:type="dxa"/>
            <w:gridSpan w:val="5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June 30, 2026</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6"/>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6"/>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30,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(2,195,066)</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(127,751)</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210,668 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800,818 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883,955 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under compensation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121,792 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(51,916)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noncontrolling interest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IES Holdings, Inc.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354,322 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354,322 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2026</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(2,125,190)</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(140,026)</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214,554 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1,154,494 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1,229,242 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876" w:type="dxa"/>
        <w:jc w:val="center"/>
        <w:tblInd w:w="0" w:type="dxa"/>
        <w:tblLayout w:type="fixed"/>
        <w:tblCellMar>
          <w:top w:w="28" w:type="dxa"/>
          <w:left w:w="28" w:type="dxa"/>
          <w:bottom w:w="28" w:type="dxa"/>
          <w:right w:w="28" w:type="dxa"/>
        </w:tblCellMar>
      </w:tblPr>
      <w:tblGrid>
        <w:gridCol w:w="175"/>
        <w:gridCol w:w="154"/>
        <w:gridCol w:w="154"/>
        <w:gridCol w:w="465"/>
        <w:gridCol w:w="390"/>
        <w:gridCol w:w="286"/>
        <w:gridCol w:w="480"/>
        <w:gridCol w:w="481"/>
        <w:gridCol w:w="186"/>
        <w:gridCol w:w="109"/>
        <w:gridCol w:w="109"/>
        <w:gridCol w:w="109"/>
        <w:gridCol w:w="112"/>
        <w:gridCol w:w="112"/>
        <w:gridCol w:w="112"/>
        <w:gridCol w:w="210"/>
        <w:gridCol w:w="211"/>
        <w:gridCol w:w="116"/>
        <w:gridCol w:w="109"/>
        <w:gridCol w:w="109"/>
        <w:gridCol w:w="109"/>
        <w:gridCol w:w="443"/>
        <w:gridCol w:w="443"/>
        <w:gridCol w:w="186"/>
        <w:gridCol w:w="109"/>
        <w:gridCol w:w="109"/>
        <w:gridCol w:w="109"/>
        <w:gridCol w:w="112"/>
        <w:gridCol w:w="112"/>
        <w:gridCol w:w="112"/>
        <w:gridCol w:w="374"/>
        <w:gridCol w:w="377"/>
        <w:gridCol w:w="116"/>
        <w:gridCol w:w="109"/>
        <w:gridCol w:w="109"/>
        <w:gridCol w:w="109"/>
        <w:gridCol w:w="140"/>
        <w:gridCol w:w="140"/>
        <w:gridCol w:w="140"/>
        <w:gridCol w:w="368"/>
        <w:gridCol w:w="368"/>
        <w:gridCol w:w="141"/>
        <w:gridCol w:w="109"/>
        <w:gridCol w:w="109"/>
        <w:gridCol w:w="109"/>
        <w:gridCol w:w="120"/>
        <w:gridCol w:w="120"/>
        <w:gridCol w:w="120"/>
        <w:gridCol w:w="368"/>
        <w:gridCol w:w="368"/>
        <w:gridCol w:w="121"/>
        <w:gridCol w:w="109"/>
        <w:gridCol w:w="109"/>
        <w:gridCol w:w="109"/>
        <w:gridCol w:w="168"/>
        <w:gridCol w:w="168"/>
        <w:gridCol w:w="168"/>
        <w:gridCol w:w="368"/>
        <w:gridCol w:w="368"/>
        <w:gridCol w:w="241"/>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2" w:type="dxa"/>
            <w:gridSpan w:val="5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June 30, 2025</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30, 2024</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(2,077,859)</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(90,325)</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203,458 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497,760 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611,113 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under compensation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(212,006)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(41,593)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noncontrolling interest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IES Holdings, Inc.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(2,195,113)</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(127,700)</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208,594 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700,327 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781,441 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11"/>
        <w:gridCol w:w="274"/>
        <w:gridCol w:w="274"/>
        <w:gridCol w:w="744"/>
        <w:gridCol w:w="565"/>
        <w:gridCol w:w="560"/>
        <w:gridCol w:w="1564"/>
        <w:gridCol w:w="1045"/>
        <w:gridCol w:w="1076"/>
        <w:gridCol w:w="109"/>
        <w:gridCol w:w="109"/>
        <w:gridCol w:w="109"/>
        <w:gridCol w:w="133"/>
        <w:gridCol w:w="133"/>
        <w:gridCol w:w="133"/>
        <w:gridCol w:w="432"/>
        <w:gridCol w:w="434"/>
        <w:gridCol w:w="133"/>
        <w:gridCol w:w="133"/>
        <w:gridCol w:w="133"/>
        <w:gridCol w:w="133"/>
        <w:gridCol w:w="133"/>
        <w:gridCol w:w="133"/>
        <w:gridCol w:w="133"/>
        <w:gridCol w:w="432"/>
        <w:gridCol w:w="434"/>
        <w:gridCol w:w="133"/>
        <w:gridCol w:w="109"/>
        <w:gridCol w:w="161"/>
      </w:tblGrid>
      <w:tr>
        <w:trPr/>
        <w:tc>
          <w:tcPr>
            <w:tcW w:w="3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 and other non-cash tax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remeasurement of previously held investment upon acquisition (Note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method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(149,131)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costs and estimated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239,421 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154,095 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(123,042)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in conjunction with business combinations,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(143,108)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(265,539)</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(114,099)</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(976,400)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4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(23,775)</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(32,380)</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(49,893)</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127,171 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1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77,278 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108,448 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859"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859"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859"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859"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859"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859"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Amounts in Thousands Except Share and Per Share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BUSINESS AND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Description of the Business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IES Holdings, Inc. designs and installs integrated electrical and technology systems and provides infrastructure solutions and services to a variety of end markets, including data centers, residential housing and commercial and industrial facilities. Our operations are organized into four business segments, based upon the nature of our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Communications</w:t>
      </w:r>
      <w:r>
        <w:rPr>
          <w:color w:val="000000"/>
        </w:rPr>
        <w:t xml:space="preserve"> – </w:t>
      </w:r>
      <w:r>
        <w:rPr>
          <w:rFonts w:ascii="Times New Roman;serif" w:hAnsi="Times New Roman;serif"/>
          <w:b w:val="false"/>
          <w:color w:val="000000"/>
          <w:sz w:val="20"/>
        </w:rPr>
        <w:t>Nationwide provider of technology infrastructure services, including the design, build, and maintenance of the communications infrastructure within data centers for co-location and managed hosting customers, for both large corporations and independent businesses.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Residential</w:t>
      </w:r>
      <w:r>
        <w:rPr>
          <w:color w:val="000000"/>
        </w:rPr>
        <w:t xml:space="preserve"> – </w:t>
      </w:r>
      <w:r>
        <w:rPr>
          <w:rFonts w:ascii="Times New Roman;serif" w:hAnsi="Times New Roman;serif"/>
          <w:b w:val="false"/>
          <w:color w:val="000000"/>
          <w:sz w:val="20"/>
        </w:rPr>
        <w:t xml:space="preserve">Regional provider of electrical installation services for single-family housing and multi-family apartment complexes, as well as heating, ventilation and air conditioning (HVAC) and plumbing installation services in certain markets.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Infrastructure Solutions</w:t>
      </w:r>
      <w:r>
        <w:rPr>
          <w:color w:val="000000"/>
        </w:rPr>
        <w:t xml:space="preserve"> – </w:t>
      </w:r>
      <w:r>
        <w:rPr>
          <w:rFonts w:ascii="Times New Roman;serif" w:hAnsi="Times New Roman;serif"/>
          <w:b w:val="false"/>
          <w:color w:val="000000"/>
          <w:sz w:val="20"/>
        </w:rPr>
        <w:t xml:space="preserve">Provider of electro-mechanical solutions for industrial operations, including apparatus repair and custom-engineered solutions such as generator enclosures used in data centers and other industrial applications.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Commercial &amp; Industrial</w:t>
      </w:r>
      <w:r>
        <w:rPr>
          <w:color w:val="000000"/>
        </w:rPr>
        <w:t xml:space="preserve"> – </w:t>
      </w:r>
      <w:r>
        <w:rPr>
          <w:rFonts w:ascii="Times New Roman;serif" w:hAnsi="Times New Roman;serif"/>
          <w:b w:val="false"/>
          <w:color w:val="000000"/>
          <w:sz w:val="20"/>
        </w:rPr>
        <w:t>Provider of electrical and mechanical design, construction, and maintenance services to the commercial and industrial markets in various regional markets and nationwide in certain areas of expertise, such as the power infrastructure market and data centers.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words “IES”, the “Company”, “we”, “our”, and “us” refer to IES Holdings, Inc. and, except as otherwise specified herein, to our consolidated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Seasonality and Quarterly Fluctuations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Results of operations from our Residential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From quarter to quarter, results for our Communications, Residential, and Commercial &amp; Industrial segments may be materially affected by the timing of new construction projects, and our volume of business may be adversely affected by declines in construction projects resulting from adverse regional or national economic conditions. Quarterly results for our Infrastructure Solutions segment may be affected by the timing of outages or capital projects at our customers’ facilities. Accordingly, operating results for any fiscal period are not necessarily indicative of results that may be achieved for any subsequent fiscal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of Financial Statement Preparation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United States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2025.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account for investments using the equity method of accounting if the investment gives us the ability to exercise significant influence over an investee but does not grant us control. Significant influence generally is presumed to exist when an investor owns 20% or more of the voting stock of an incorporated investee or a more than 3% to 5% interest in an unincorporated investee. Under the equity method of accounting, the carrying amount of an investment is initially recorded at cost basis and is subsequently adjusted for our proportionate share of earnings or losses, additional investments in the entity, and distributions. Our proportionate share of earnings or losses is recorded in Equity method investment income on our Condensed Consolidated Statements of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Noncontrolling Interest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acquisition of Edmonson Electric LLC ("Edmonson") in fiscal 2021 and NEXT Electric, LLC ("NEXT") in fiscal 2017, we acquired an 80 percent interest in each of the entities, with the remaining 20 percent interest retained by the respective third-party sellers. The interests retained by those third-party sellers are identified on our Condensed Consolidated Balance Sheets as “Noncontrolling interest,” classified outside of permanent equity.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our operating agreement with NEXT, we may elect to purchase, or the third-party seller may require us to purchase, part or all of the remaining 20 percent interest in NEXT. The purchase price is variable, based on a multiple of earnings as defined in the operating agreement. Therefore, the noncontrolling interest is carried at the greater of the balance determined under Accounting Standards Codification (“ASC”) 810 and the redemption amount at the balance sheet date. The redemption amount of the noncontrolling interest in NEXT at June 30, 2026 was $5,271.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agreement with Edmonson contained a similar provision relating to the purchase of the remaining 20 percent interest in Edmonson. On July 1, 2025, we purchased the remaining 20 percent noncontrolling interest in Edmonson for $40,000. As we retained our controlling interest in Edmonson, the change in ownership interest was accounted for as an equity transaction. The difference between the balance of the noncontrolling interest at the date of redemption of the remaining interest and the consideration paid was recognized in Additional Paid-In Capital in the accompanying Condensed Consolidated Balance Sheets and was not reflected in earnings.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activity in redeemable noncontrolling interest for the nine months ended June 30, 2026 and 2025 is summarized in the table below. </w:t>
      </w:r>
    </w:p>
    <w:tbl>
      <w:tblPr>
        <w:tblW w:w="8068" w:type="dxa"/>
        <w:jc w:val="center"/>
        <w:tblInd w:w="0" w:type="dxa"/>
        <w:tblLayout w:type="fixed"/>
        <w:tblCellMar>
          <w:top w:w="28" w:type="dxa"/>
          <w:left w:w="28" w:type="dxa"/>
          <w:bottom w:w="28" w:type="dxa"/>
          <w:right w:w="28" w:type="dxa"/>
        </w:tblCellMar>
      </w:tblPr>
      <w:tblGrid>
        <w:gridCol w:w="2016"/>
        <w:gridCol w:w="1771"/>
        <w:gridCol w:w="1777"/>
        <w:gridCol w:w="225"/>
        <w:gridCol w:w="657"/>
        <w:gridCol w:w="116"/>
        <w:gridCol w:w="116"/>
        <w:gridCol w:w="116"/>
        <w:gridCol w:w="116"/>
        <w:gridCol w:w="225"/>
        <w:gridCol w:w="769"/>
        <w:gridCol w:w="164"/>
      </w:tblGrid>
      <w:tr>
        <w:trPr/>
        <w:tc>
          <w:tcPr>
            <w:tcW w:w="201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40,996 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record noncontrolling interests at redemption value</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40,977 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stock-based compensation, reserves for legal matters, and realizability of deferred tax assets and unrecognized tax benefits.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and Disclosure Rules Not Yet Adopted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Accounting Standard Update No. 2023-09, Income Taxes (Topic 740): Improvements to Income Tax Disclosures (“ASU 2023-09”). This standard requires more detailed disclosure within the tax rate reconciliation table, as well as additional information about cash taxes paid. This update is effective for fiscal years beginning after December 15, 2024. We will present the required disclosures in our annual report with no impact on our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Accounting Standard Update No. 2024-03, Income Statement—Reporting Comprehensive Income—Expense Disaggregation Disclosures (Subtopic 220-40): Disaggregation of Income Statement Expenses (“ASU 2024-03”). This standard requires additional disclosures of certain expenses, including purchases of inventory, employee compensation, depreciation, intangible asset amortization, and other specific expense categories. This standard also requires disclosure of the total amount of selling expenses and the Company's definition of selling expenses. This update is effective for fiscal years beginning after December 15, 2026, and interim periods within fiscal years beginning after December 15, 2027. Early adoption is permitted. We are evaluating the impact this update will have on our disclosures; however, it will not impact our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Accounting Standard Update No. 2025-06, Intangibles—Goodwill and Other—Internal-Use Software (Subtopic 350-40): Targeted Improvements to the Accounting for Internal-Use Software (“ASU 2025-06”). This standard amends the existing standard for capitalizing costs to develop or obtain software for internal use. This update removes the requirement for costs associated with internal-use software projects to be capitalized only at certain stages of development, instead only requiring that management has authorized and committed to funding a software project and that it is probable that the project will be completed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the software will be used for the function intended in order for these costs to be capitalized. This update is effective for fiscal years beginning after December 15, 2027, and interim periods within fiscal years beginning after December 15, 2028. Early adoption is permitted. This update may be applied on a prospective or retrospective basis, or a modified prospective basis for in-process projects. We are evaluating the impact this update will have on our financial condition, results of operations, and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CONTROLLING STOCKHOLDER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Tontine Associates, L.L.C. (“T</w:t>
      </w:r>
      <w:r>
        <w:rPr>
          <w:rFonts w:ascii="Times New Roman;serif" w:hAnsi="Times New Roman;serif"/>
          <w:b w:val="false"/>
          <w:color w:val="000000"/>
          <w:sz w:val="20"/>
          <w:shd w:fill="FFFFFF" w:val="clear"/>
        </w:rPr>
        <w:t>ontine Associates”), together with its affiliates (collectively, “Tontine”), is the Company’s controlling stockholder, owning approximately 52 perc</w:t>
      </w:r>
      <w:r>
        <w:rPr>
          <w:rFonts w:ascii="Times New Roman;serif" w:hAnsi="Times New Roman;serif"/>
          <w:b w:val="false"/>
          <w:color w:val="000000"/>
          <w:sz w:val="20"/>
        </w:rPr>
        <w:t>ent of the Company’s outstanding common stock based on a Form 4 filed by Tontine with the SEC on June 16, 2026 and the Company's shares outstanding as of July 27, 2026. Accordingly, Tontine has the ability to exercise significant control over our affairs, including the election of directors and most actions requiring the approval of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While Tontine is subject to certain restrictions under federal securities laws on sales of its shares as an affiliate, the Company has filed a resale shelf registration statement to register for resale a majority of the shares of IES common stock owned by Tontine. As long as the resale shelf registration statement remains effective and the Company remains eligible to use it, Tontine has the ability to resell any or all of its registered shares from time to time in one or more offerings, as described in the resale shelf registration statement and in any prospectus supplement filed in connection with an offering pursuant to the resale shelf registration statement.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Should Tontine, or its underlying individual owners, sell or otherwise dispose of all or a significant portion of its position in IES, a change in control of IES could occur. A change of control would trigger the change of control provisions in a number of our material agreements, including our credit agreement, bonding agreements with our sureties and our executive severance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Jeffrey L. Gendell was appointed Executive Chairman of the Company effective July 1, 2025 after serving as Chief Executive Officer of the Company from October 1, 2020 to June 30, 2025, and as the Company's Interim Chief Executive Officer from July 31, 2020 to September 30, 2020. Mr. Gendell has also served as a director and as Chairman of the Board of Directors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January 2018.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a party to a sublease agreement with Tontine Associates for corporate office space in Greenwich, Connecticut. On August 1, 2024, the Company entered into an amendment of the sublease agreement to extend the term of the agreement through September 30, 2025, effective September 1, 2024, while maintaining monthly payments due in the amount of approximately $9. On August 1, 2025, the Company entered into an amendment of the sublease agreement to extend the term of the agreement through September 30, 2026. Payments by the Company are at a rate consistent with that paid by Tontine Associates to its landlord.</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Contracts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revenue is derived from contracts with customers, and we determine the appropriate accounting treatment for each contract at its inception. Our contracts primarily relate to electrical and mechanical contracting services, technology infrastructure solutions and services, and electro-mechanical solutions for industrial operations. Revenue is earned based upon an agreed fixed price or actual costs incurred plus an agreed upon percentage.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Performance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performance obligation is a promise in a contract to transfer a distinct good or service to the customer. A contract’s transaction price is allocated to each distinct performance obligation and recognized as revenue when, or as, the performance obligation is satisfied.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Custom Engineered Solutions business, we often perform work inside our own facilities, where control does not continuously transfer to the customer as work progresses. In such cases, we evaluate whether the work performed creates an asset with alternative use to the Company and whether we have the right to bill the customer as costs are incurred. Such assessment involves an evaluation of contractual termination clauses. Where we are creating an asset with no alternative use and we have a contractual right to payment for work performed to date, we recognize revenue over time. If we do not have such a right, we recognize revenue upon completion of the contract, when control of the work transfers to the customer.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contracts with customers where we recognize revenue over time, we generally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process requires updates to the estimate of total costs to complete the contract, and these updates may include subjective assessments and judgments. Revenue for contracts with customers whose durations are short in nature is recognized when the project is complete and billable to the customer under the right to invoice practical expedient.</w:t>
      </w:r>
    </w:p>
    <w:p>
      <w:pPr>
        <w:pStyle w:val="TextBody"/>
        <w:bidi w:val="0"/>
        <w:spacing w:lineRule="auto" w:line="288" w:before="0" w:after="0"/>
        <w:ind w:left="0" w:right="0" w:firstLine="720"/>
        <w:jc w:val="left"/>
        <w:rPr>
          <w:color w:val="FF0000"/>
        </w:rPr>
      </w:pPr>
      <w:r>
        <w:rPr>
          <w:color w:val="FF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Variable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transaction price for our contracts may include variable consideration, which includes changes to transaction price for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We estimate variable consideration at either the expected probability weighted value or the most likely amount in a range of possible consideration amounts,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before="0" w:after="0"/>
        <w:jc w:val="left"/>
        <w:rPr/>
      </w:pPr>
      <w:r>
        <w:rPr/>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disaggregate our revenue from contracts with customers by activity and contract type, as these categories reflect how the nature, amount, timing and uncertainty of our revenue and cash flows are affected by economic factors. Our consolidated revenue for the three and nine months ended June 30, 2026 and 2025 was derived from the following activities. </w:t>
      </w:r>
    </w:p>
    <w:tbl>
      <w:tblPr>
        <w:tblW w:w="10205" w:type="dxa"/>
        <w:jc w:val="center"/>
        <w:tblInd w:w="0" w:type="dxa"/>
        <w:tblLayout w:type="fixed"/>
        <w:tblCellMar>
          <w:top w:w="28" w:type="dxa"/>
          <w:left w:w="28" w:type="dxa"/>
          <w:bottom w:w="28" w:type="dxa"/>
          <w:right w:w="28" w:type="dxa"/>
        </w:tblCellMar>
      </w:tblPr>
      <w:tblGrid>
        <w:gridCol w:w="944"/>
        <w:gridCol w:w="830"/>
        <w:gridCol w:w="832"/>
        <w:gridCol w:w="109"/>
        <w:gridCol w:w="109"/>
        <w:gridCol w:w="109"/>
        <w:gridCol w:w="211"/>
        <w:gridCol w:w="976"/>
        <w:gridCol w:w="109"/>
        <w:gridCol w:w="109"/>
        <w:gridCol w:w="109"/>
        <w:gridCol w:w="109"/>
        <w:gridCol w:w="211"/>
        <w:gridCol w:w="826"/>
        <w:gridCol w:w="109"/>
        <w:gridCol w:w="109"/>
        <w:gridCol w:w="109"/>
        <w:gridCol w:w="109"/>
        <w:gridCol w:w="109"/>
        <w:gridCol w:w="109"/>
        <w:gridCol w:w="164"/>
        <w:gridCol w:w="164"/>
        <w:gridCol w:w="318"/>
        <w:gridCol w:w="1475"/>
        <w:gridCol w:w="164"/>
        <w:gridCol w:w="109"/>
        <w:gridCol w:w="109"/>
        <w:gridCol w:w="109"/>
        <w:gridCol w:w="211"/>
        <w:gridCol w:w="976"/>
        <w:gridCol w:w="159"/>
      </w:tblGrid>
      <w:tr>
        <w:trPr/>
        <w:tc>
          <w:tcPr>
            <w:tcW w:w="94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c>
          <w:tcPr>
            <w:tcW w:w="1673" w:type="dxa"/>
            <w:gridSpan w:val="6"/>
            <w:tcBorders/>
          </w:tcPr>
          <w:p>
            <w:pPr>
              <w:pStyle w:val="TableContents"/>
              <w:bidi w:val="0"/>
              <w:spacing w:before="0" w:after="283"/>
              <w:jc w:val="left"/>
              <w:rPr>
                <w:sz w:val="4"/>
                <w:szCs w:val="4"/>
              </w:rPr>
            </w:pPr>
            <w:r>
              <w:rPr>
                <w:sz w:val="4"/>
                <w:szCs w:val="4"/>
              </w:rPr>
            </w:r>
          </w:p>
        </w:tc>
      </w:tr>
      <w:tr>
        <w:trPr/>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1,172,697 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805,189 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Single-family Electrical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422,554 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Single-family Plumbing &amp; HVAC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895,758 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983,975 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 Engineered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Infrastructure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355,233 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1,242,697 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2,473,665 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87"/>
        <w:gridCol w:w="515"/>
        <w:gridCol w:w="519"/>
        <w:gridCol w:w="109"/>
        <w:gridCol w:w="109"/>
        <w:gridCol w:w="109"/>
        <w:gridCol w:w="276"/>
        <w:gridCol w:w="1081"/>
        <w:gridCol w:w="144"/>
        <w:gridCol w:w="109"/>
        <w:gridCol w:w="109"/>
        <w:gridCol w:w="109"/>
        <w:gridCol w:w="211"/>
        <w:gridCol w:w="826"/>
        <w:gridCol w:w="109"/>
        <w:gridCol w:w="109"/>
        <w:gridCol w:w="109"/>
        <w:gridCol w:w="109"/>
        <w:gridCol w:w="270"/>
        <w:gridCol w:w="1062"/>
        <w:gridCol w:w="141"/>
        <w:gridCol w:w="109"/>
        <w:gridCol w:w="109"/>
        <w:gridCol w:w="109"/>
        <w:gridCol w:w="273"/>
        <w:gridCol w:w="1071"/>
        <w:gridCol w:w="141"/>
        <w:gridCol w:w="109"/>
        <w:gridCol w:w="109"/>
        <w:gridCol w:w="109"/>
        <w:gridCol w:w="211"/>
        <w:gridCol w:w="976"/>
        <w:gridCol w:w="157"/>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267,348 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190,179 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228,724 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1,010,349 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185,733 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453,081 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224,123 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241,395 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1,242,697 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211,644 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118,930 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102,855 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779,467 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299,213 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129,488 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115,419 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890,158 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7" w:type="dxa"/>
            <w:gridSpan w:val="27"/>
            <w:tcBorders/>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7" w:type="dxa"/>
            <w:gridSpan w:val="27"/>
            <w:tcBorders/>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587"/>
        <w:gridCol w:w="515"/>
        <w:gridCol w:w="519"/>
        <w:gridCol w:w="109"/>
        <w:gridCol w:w="109"/>
        <w:gridCol w:w="109"/>
        <w:gridCol w:w="244"/>
        <w:gridCol w:w="1130"/>
        <w:gridCol w:w="127"/>
        <w:gridCol w:w="109"/>
        <w:gridCol w:w="109"/>
        <w:gridCol w:w="109"/>
        <w:gridCol w:w="211"/>
        <w:gridCol w:w="826"/>
        <w:gridCol w:w="109"/>
        <w:gridCol w:w="109"/>
        <w:gridCol w:w="109"/>
        <w:gridCol w:w="109"/>
        <w:gridCol w:w="270"/>
        <w:gridCol w:w="1062"/>
        <w:gridCol w:w="141"/>
        <w:gridCol w:w="109"/>
        <w:gridCol w:w="109"/>
        <w:gridCol w:w="109"/>
        <w:gridCol w:w="273"/>
        <w:gridCol w:w="1071"/>
        <w:gridCol w:w="141"/>
        <w:gridCol w:w="109"/>
        <w:gridCol w:w="109"/>
        <w:gridCol w:w="109"/>
        <w:gridCol w:w="211"/>
        <w:gridCol w:w="976"/>
        <w:gridCol w:w="157"/>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7" w:type="dxa"/>
            <w:gridSpan w:val="27"/>
            <w:tcBorders/>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7" w:type="dxa"/>
            <w:gridSpan w:val="27"/>
            <w:tcBorders/>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 2026</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710,699 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485,313 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424,769 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2,516,539 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1,172,697 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556,746 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462,738 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3,087,939 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 2025</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580,389 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325,607 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287,474 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2,177,445 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805,189 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355,233 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329,268 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2,473,665 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Accounts receivable include amounts that we have billed or have an unconditional right to bill our customers. As of June 30, 2026, accounts receivable included $31,187 of unbilled receivables for which we have an unconditional right to bill.</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 Assets and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Condensed Consolidated Balance Sheets under the caption “Costs and estimated earnings in excess of billings”. Amounts by which cumulative billings to the customer under a contract as of a given date exceed cumulative contract revenue recognized are reflected as a current liability in our Condensed Consolidated Balance Sheets under the caption “Billings in excess of costs and estimated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June 30, 2026 and 2025, we recognized revenue of $164,294 and $145,991 related to our contract liabilities at September 30, 2025 and 2024,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i/>
          <w:color w:val="000000"/>
          <w:sz w:val="20"/>
        </w:rPr>
        <w:t>Remaining Performance Obligations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unrecognized revenue value of our contract commitments. Our new performance obligations vary significantly each reporting period based on the timing of our major new contract commitments. At June 30, 2026, we had remaining performance obligations of $2,801,635. The Company expects to recognize revenue on approximately $2,289,343 of the remaining performance obligations over the next 12 months, with the remainder recognized thereafter.</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June 30, 2026, revenue recognized from our performance obligations satisfied in previous periods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4. DEBT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a party to the Fourth Amended and Restated Credit Agreement (the “Amended Credit Agreement”), which provides for a revolving line of credit of $300,000, with a maturity date of January 21, 2030.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the Amended Credit Agreement, the Company is subject to certain financial covenants including a maximum Consolidated Total Leverage Ratio (as defined in the Amended Credit Agreement) of 3.00 to 1.00 and a minimum Consolidated Interest Coverage Ratio (as defined in the Amended Credit Agreement) of 3.00 to 1.00. As of June 30, 2026, the Company was in compliance with the financial covenants under the Amended Credit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June 30, 2026 and September 30, 2025, we had no outstanding borrowings under our revolving credit facility. At June 30, 2026, we had $12,210 in outstanding letters of credit and $287,790 of availability under our revolving credit facility.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Amounts outstanding bear interest at a rate equal to either (1) the Base Rate (which is the greater of the Federal Funds Rate (as defined in the Amended Credit Agreement) and the Prime Rate (as defined in the Amended Credit Agreement)), (2) the Daily Simple SOFR (as defined in the Amended Credit Agreement) or (3) Term SOFR (as defined in the Amended Credit Agreement), plus, in each case, an interest rate margin, which is determined quarterly based on our Consolidated Total Leverage Ratio, in accordance with the following thresholds:</w:t>
      </w:r>
    </w:p>
    <w:tbl>
      <w:tblPr>
        <w:tblW w:w="10205" w:type="dxa"/>
        <w:jc w:val="center"/>
        <w:tblInd w:w="0" w:type="dxa"/>
        <w:tblLayout w:type="fixed"/>
        <w:tblCellMar>
          <w:top w:w="28" w:type="dxa"/>
          <w:left w:w="28" w:type="dxa"/>
          <w:bottom w:w="28" w:type="dxa"/>
          <w:right w:w="28" w:type="dxa"/>
        </w:tblCellMar>
      </w:tblPr>
      <w:tblGrid>
        <w:gridCol w:w="344"/>
        <w:gridCol w:w="303"/>
        <w:gridCol w:w="305"/>
        <w:gridCol w:w="109"/>
        <w:gridCol w:w="109"/>
        <w:gridCol w:w="109"/>
        <w:gridCol w:w="1040"/>
        <w:gridCol w:w="1040"/>
        <w:gridCol w:w="1042"/>
        <w:gridCol w:w="109"/>
        <w:gridCol w:w="109"/>
        <w:gridCol w:w="109"/>
        <w:gridCol w:w="1004"/>
        <w:gridCol w:w="988"/>
        <w:gridCol w:w="991"/>
        <w:gridCol w:w="109"/>
        <w:gridCol w:w="109"/>
        <w:gridCol w:w="109"/>
        <w:gridCol w:w="643"/>
        <w:gridCol w:w="627"/>
        <w:gridCol w:w="897"/>
      </w:tblGrid>
      <w:tr>
        <w:trPr/>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Pricing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 Total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Margin applicable to Daily Simple SOFR/Term 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Margin applicable to Base Rate</w:t>
            </w:r>
          </w:p>
        </w:tc>
      </w:tr>
      <w:tr>
        <w:trPr/>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2.50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2.25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1.25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1.75 to 1.00, but less than 2.50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2.00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1.00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1.00 to 1.00, but less than 1.75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1.75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0.75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Less than 1.00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1.50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0.50 percentage points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we are charged monthly in arrears an unused commitment fee of 0.25% to 0.35% per annum on any unused portion of the revolving credit facility based on the Company's Consolidated Total Leverage Ratio.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Amended Credit Agreement restricts certain types of transactions when the Company’s Consolidated Total Leverage Ratio, after giving pro forma effect thereto, exceeds 2.75 to 1.00. The Amended Credit Agreement contains other customary affirmative and negative covenants as well as events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5. PER SHARE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components of basic and diluted earnings per share for the three and nine months ended June 30, 2026 and 2025:</w:t>
      </w:r>
    </w:p>
    <w:tbl>
      <w:tblPr>
        <w:tblW w:w="10205" w:type="dxa"/>
        <w:jc w:val="center"/>
        <w:tblInd w:w="0" w:type="dxa"/>
        <w:tblLayout w:type="fixed"/>
        <w:tblCellMar>
          <w:top w:w="28" w:type="dxa"/>
          <w:left w:w="28" w:type="dxa"/>
          <w:bottom w:w="28" w:type="dxa"/>
          <w:right w:w="28" w:type="dxa"/>
        </w:tblCellMar>
      </w:tblPr>
      <w:tblGrid>
        <w:gridCol w:w="1568"/>
        <w:gridCol w:w="1256"/>
        <w:gridCol w:w="1267"/>
        <w:gridCol w:w="109"/>
        <w:gridCol w:w="109"/>
        <w:gridCol w:w="109"/>
        <w:gridCol w:w="219"/>
        <w:gridCol w:w="862"/>
        <w:gridCol w:w="109"/>
        <w:gridCol w:w="109"/>
        <w:gridCol w:w="109"/>
        <w:gridCol w:w="109"/>
        <w:gridCol w:w="244"/>
        <w:gridCol w:w="837"/>
        <w:gridCol w:w="109"/>
        <w:gridCol w:w="109"/>
        <w:gridCol w:w="109"/>
        <w:gridCol w:w="109"/>
        <w:gridCol w:w="219"/>
        <w:gridCol w:w="862"/>
        <w:gridCol w:w="109"/>
        <w:gridCol w:w="109"/>
        <w:gridCol w:w="109"/>
        <w:gridCol w:w="109"/>
        <w:gridCol w:w="219"/>
        <w:gridCol w:w="862"/>
        <w:gridCol w:w="155"/>
      </w:tblGrid>
      <w:tr>
        <w:trPr/>
        <w:tc>
          <w:tcPr>
            <w:tcW w:w="156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IES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 of IES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202,567 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19,924,154 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19,856,289 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19,938,694 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 of dilutive non-vested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and common equivalent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20,197,707 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20,104,257 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20,186,894 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20,188,035 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stockholders of IES Holdings, Inc.:</w:t>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excluded from the computation of diluted earnings per share as the effect of their inclusion would have been anti-dilutive:</w:t>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phantom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63" w:type="dxa"/>
            <w:gridSpan w:val="6"/>
            <w:tcBorders/>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OPERATING SEGMENTS</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manage and measure performance of our business in four distinct operating segments: Communications, Residential, Infrastructure Solutions, and Commercial &amp; Industrial. These segments are reflective of how the Company's chief operating decision maker (“CODM”) reviews operating results for the purpose of allocating resources and assessing performance. The CODM primarily uses “Operating income (loss)” for each operating segment to assess performance and decide how to allocate resources. Investment gains and losses and certain other corporate income and expense items are not considered in assessing the financial performance of operating businesses. In evaluating performance of the operating businesses, the CODM may compare actual income from operations for a segment to its forecast or prior year results. The Company’s CODM is its Chief Executive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Transactions between segments, if any, are eliminated in consolidation. Our corporate office provides general and administrative services, as well as support services, to each of our four operating segments. Management allocates certain shared costs among segments for selling, general and administrative expenses and depreciation expense.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Segment information for the three and nine months ended June 30, 2026 and 2025 is as follows:</w:t>
      </w:r>
    </w:p>
    <w:tbl>
      <w:tblPr>
        <w:tblW w:w="10205" w:type="dxa"/>
        <w:jc w:val="center"/>
        <w:tblInd w:w="0" w:type="dxa"/>
        <w:tblLayout w:type="fixed"/>
        <w:tblCellMar>
          <w:top w:w="28" w:type="dxa"/>
          <w:left w:w="28" w:type="dxa"/>
          <w:bottom w:w="28" w:type="dxa"/>
          <w:right w:w="28" w:type="dxa"/>
        </w:tblCellMar>
      </w:tblPr>
      <w:tblGrid>
        <w:gridCol w:w="245"/>
        <w:gridCol w:w="215"/>
        <w:gridCol w:w="215"/>
        <w:gridCol w:w="441"/>
        <w:gridCol w:w="441"/>
        <w:gridCol w:w="215"/>
        <w:gridCol w:w="245"/>
        <w:gridCol w:w="923"/>
        <w:gridCol w:w="138"/>
        <w:gridCol w:w="109"/>
        <w:gridCol w:w="109"/>
        <w:gridCol w:w="109"/>
        <w:gridCol w:w="196"/>
        <w:gridCol w:w="736"/>
        <w:gridCol w:w="109"/>
        <w:gridCol w:w="109"/>
        <w:gridCol w:w="109"/>
        <w:gridCol w:w="109"/>
        <w:gridCol w:w="206"/>
        <w:gridCol w:w="778"/>
        <w:gridCol w:w="116"/>
        <w:gridCol w:w="109"/>
        <w:gridCol w:w="109"/>
        <w:gridCol w:w="109"/>
        <w:gridCol w:w="203"/>
        <w:gridCol w:w="765"/>
        <w:gridCol w:w="113"/>
        <w:gridCol w:w="109"/>
        <w:gridCol w:w="109"/>
        <w:gridCol w:w="109"/>
        <w:gridCol w:w="196"/>
        <w:gridCol w:w="736"/>
        <w:gridCol w:w="109"/>
        <w:gridCol w:w="109"/>
        <w:gridCol w:w="109"/>
        <w:gridCol w:w="109"/>
        <w:gridCol w:w="196"/>
        <w:gridCol w:w="871"/>
        <w:gridCol w:w="162"/>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2026</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453,081 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224,123 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241,395 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1,242,697 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334,252 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902,035 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118,829 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76,119 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73,622 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340,662 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35,248 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83,613 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53,387 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54,275 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178,547 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535,459 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613,833 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2,275,716 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45"/>
        <w:gridCol w:w="215"/>
        <w:gridCol w:w="215"/>
        <w:gridCol w:w="441"/>
        <w:gridCol w:w="441"/>
        <w:gridCol w:w="215"/>
        <w:gridCol w:w="245"/>
        <w:gridCol w:w="923"/>
        <w:gridCol w:w="138"/>
        <w:gridCol w:w="109"/>
        <w:gridCol w:w="109"/>
        <w:gridCol w:w="109"/>
        <w:gridCol w:w="196"/>
        <w:gridCol w:w="736"/>
        <w:gridCol w:w="109"/>
        <w:gridCol w:w="109"/>
        <w:gridCol w:w="109"/>
        <w:gridCol w:w="109"/>
        <w:gridCol w:w="206"/>
        <w:gridCol w:w="778"/>
        <w:gridCol w:w="116"/>
        <w:gridCol w:w="109"/>
        <w:gridCol w:w="109"/>
        <w:gridCol w:w="109"/>
        <w:gridCol w:w="203"/>
        <w:gridCol w:w="765"/>
        <w:gridCol w:w="113"/>
        <w:gridCol w:w="109"/>
        <w:gridCol w:w="109"/>
        <w:gridCol w:w="109"/>
        <w:gridCol w:w="196"/>
        <w:gridCol w:w="736"/>
        <w:gridCol w:w="109"/>
        <w:gridCol w:w="109"/>
        <w:gridCol w:w="109"/>
        <w:gridCol w:w="109"/>
        <w:gridCol w:w="196"/>
        <w:gridCol w:w="871"/>
        <w:gridCol w:w="162"/>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2025</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299,213 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129,488 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115,419 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890,158 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226,089 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650,561 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73,124 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46,159 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239,597 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 of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47,722 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111,902 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1,469,722 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tbl>
      <w:tblPr>
        <w:tblW w:w="10205" w:type="dxa"/>
        <w:jc w:val="center"/>
        <w:tblInd w:w="0" w:type="dxa"/>
        <w:tblLayout w:type="fixed"/>
        <w:tblCellMar>
          <w:top w:w="28" w:type="dxa"/>
          <w:left w:w="28" w:type="dxa"/>
          <w:bottom w:w="28" w:type="dxa"/>
          <w:right w:w="28" w:type="dxa"/>
        </w:tblCellMar>
      </w:tblPr>
      <w:tblGrid>
        <w:gridCol w:w="238"/>
        <w:gridCol w:w="210"/>
        <w:gridCol w:w="210"/>
        <w:gridCol w:w="427"/>
        <w:gridCol w:w="427"/>
        <w:gridCol w:w="194"/>
        <w:gridCol w:w="217"/>
        <w:gridCol w:w="967"/>
        <w:gridCol w:w="122"/>
        <w:gridCol w:w="109"/>
        <w:gridCol w:w="109"/>
        <w:gridCol w:w="109"/>
        <w:gridCol w:w="196"/>
        <w:gridCol w:w="736"/>
        <w:gridCol w:w="109"/>
        <w:gridCol w:w="109"/>
        <w:gridCol w:w="109"/>
        <w:gridCol w:w="109"/>
        <w:gridCol w:w="203"/>
        <w:gridCol w:w="765"/>
        <w:gridCol w:w="114"/>
        <w:gridCol w:w="109"/>
        <w:gridCol w:w="109"/>
        <w:gridCol w:w="109"/>
        <w:gridCol w:w="199"/>
        <w:gridCol w:w="749"/>
        <w:gridCol w:w="111"/>
        <w:gridCol w:w="109"/>
        <w:gridCol w:w="109"/>
        <w:gridCol w:w="109"/>
        <w:gridCol w:w="196"/>
        <w:gridCol w:w="736"/>
        <w:gridCol w:w="109"/>
        <w:gridCol w:w="109"/>
        <w:gridCol w:w="109"/>
        <w:gridCol w:w="109"/>
        <w:gridCol w:w="196"/>
        <w:gridCol w:w="871"/>
        <w:gridCol w:w="109"/>
        <w:gridCol w:w="15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June 30, 2026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1,172,697 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895,758 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556,746 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462,738 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873,752 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366,966 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298,945 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189,780 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129,918 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7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 of assets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202,210 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130,930 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85,405 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388,535 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535,459 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613,833 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45"/>
        <w:gridCol w:w="215"/>
        <w:gridCol w:w="215"/>
        <w:gridCol w:w="441"/>
        <w:gridCol w:w="441"/>
        <w:gridCol w:w="215"/>
        <w:gridCol w:w="245"/>
        <w:gridCol w:w="923"/>
        <w:gridCol w:w="138"/>
        <w:gridCol w:w="109"/>
        <w:gridCol w:w="109"/>
        <w:gridCol w:w="109"/>
        <w:gridCol w:w="196"/>
        <w:gridCol w:w="736"/>
        <w:gridCol w:w="109"/>
        <w:gridCol w:w="109"/>
        <w:gridCol w:w="109"/>
        <w:gridCol w:w="109"/>
        <w:gridCol w:w="206"/>
        <w:gridCol w:w="778"/>
        <w:gridCol w:w="116"/>
        <w:gridCol w:w="109"/>
        <w:gridCol w:w="109"/>
        <w:gridCol w:w="109"/>
        <w:gridCol w:w="203"/>
        <w:gridCol w:w="765"/>
        <w:gridCol w:w="113"/>
        <w:gridCol w:w="109"/>
        <w:gridCol w:w="109"/>
        <w:gridCol w:w="109"/>
        <w:gridCol w:w="196"/>
        <w:gridCol w:w="736"/>
        <w:gridCol w:w="109"/>
        <w:gridCol w:w="109"/>
        <w:gridCol w:w="109"/>
        <w:gridCol w:w="109"/>
        <w:gridCol w:w="196"/>
        <w:gridCol w:w="871"/>
        <w:gridCol w:w="162"/>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June 30, 2025</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805,189 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355,233 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329,268 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2,473,665 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620,211 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1,847,172 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184,978 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120,432 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64,971 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626,493 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346,417 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 of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115,956 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82,442 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279,216 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1,469,722 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Equity Incentive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2006 Equity Incentive Plan, as amended and restated (the “Equity Incentive Plan”), provides for grants of phantom stock units, performance awards and stock options as well as grants of stock, including restricted stock. The Equity Incentive Plan was amended and restated effective February 20, 2025 following approval by stockholders at the Company's 2025 Annual Meeting of Stockholders to, among other things, authorize the issuance of an additional 750,000 shares under the Equity Incentive Plan and extend its term to February 19, 2035. As of June 30, 2026, approximately 1,298,952 shares were authorized and available for issuance.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31, 2024, our Board authorized a stock repurchase program for the purchase from time to time of up to $200,000 of the Company’s common stock after the previous stock repurchase program was fully utilized.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made no repurchases of common stock in open market transactions during the three months ended June 30, 2026. We repurchased 4,112 shares of common stock during the nine months ended June 30, 2026 in open market transactions at an average price of $418.31. We repurchased 33,900 and 173,262 shares of our common stock during the three and nine months ended June 30, 2025 in open market transactions at an average price of $157.15 and $174.25 per share,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June 30, 2026, we issued 121,792 shares of common stock from treasury stock to employees and repurchased 47,804 shares of common stock from our employees to satisfy statutory tax withholding requirements upon the vesting of certain phantom stock units under the Equity Incentive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June 30, 2025, we issued 94,752 shares of common stock from treasury stock to employees and repurchased 38,744 shares of common stock from our employees to satisfy statutory tax withholding requirements upon the vesting of certain phantom stock units under the Equity Incentive Plan.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Director Stock Compensation</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Members of our Board of Directors receive a portion of their overall compensation as either grants of common stock or as Director phantom stock units (“Director PSUs”). The Director PSUs are contractual rights to receive one share of the Company's common stock and are paid via unrestricted stock grants to each director upon their departure from the Board of Directors, or upon a change in control. We record compensation expense for the full value of the grant on the date of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Employee Phantom Stock Units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summary of Employee PSU activity for the nine months ended June 30, 2026 is provided in the table below:</w:t>
      </w:r>
    </w:p>
    <w:tbl>
      <w:tblPr>
        <w:tblW w:w="3799" w:type="dxa"/>
        <w:jc w:val="center"/>
        <w:tblInd w:w="0" w:type="dxa"/>
        <w:tblLayout w:type="fixed"/>
        <w:tblCellMar>
          <w:top w:w="28" w:type="dxa"/>
          <w:left w:w="28" w:type="dxa"/>
          <w:bottom w:w="28" w:type="dxa"/>
          <w:right w:w="28" w:type="dxa"/>
        </w:tblCellMar>
      </w:tblPr>
      <w:tblGrid>
        <w:gridCol w:w="993"/>
        <w:gridCol w:w="875"/>
        <w:gridCol w:w="877"/>
        <w:gridCol w:w="449"/>
        <w:gridCol w:w="451"/>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2025</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9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198,533 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summary of the compensation expense related to our stock awards recognized during the three and nine months ended June 30, 2026 and 2025 is provided in the table below:</w:t>
      </w:r>
    </w:p>
    <w:tbl>
      <w:tblPr>
        <w:tblW w:w="7911" w:type="dxa"/>
        <w:jc w:val="center"/>
        <w:tblInd w:w="0" w:type="dxa"/>
        <w:tblLayout w:type="fixed"/>
        <w:tblCellMar>
          <w:top w:w="28" w:type="dxa"/>
          <w:left w:w="28" w:type="dxa"/>
          <w:bottom w:w="28" w:type="dxa"/>
          <w:right w:w="28" w:type="dxa"/>
        </w:tblCellMar>
      </w:tblPr>
      <w:tblGrid>
        <w:gridCol w:w="924"/>
        <w:gridCol w:w="810"/>
        <w:gridCol w:w="815"/>
        <w:gridCol w:w="243"/>
        <w:gridCol w:w="710"/>
        <w:gridCol w:w="125"/>
        <w:gridCol w:w="125"/>
        <w:gridCol w:w="125"/>
        <w:gridCol w:w="125"/>
        <w:gridCol w:w="243"/>
        <w:gridCol w:w="710"/>
        <w:gridCol w:w="125"/>
        <w:gridCol w:w="109"/>
        <w:gridCol w:w="109"/>
        <w:gridCol w:w="109"/>
        <w:gridCol w:w="225"/>
        <w:gridCol w:w="769"/>
        <w:gridCol w:w="116"/>
        <w:gridCol w:w="116"/>
        <w:gridCol w:w="116"/>
        <w:gridCol w:w="116"/>
        <w:gridCol w:w="225"/>
        <w:gridCol w:w="657"/>
        <w:gridCol w:w="16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PSUs</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PSUs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 common stock grants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Investments in Marketable Securities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Investments in marketable equity and debt securities classified as trading securities, which were included in “Marketable securities” in our Condensed Consolidated Balance Sheets, are measured at fair value on a recurring basis and classified within Level 1 of the fair value hierarchy, because we use quoted prices of identical assets in active markets. For more information, refer to Note 9, “Fair Value Measurements.” The balance of our marketable securities was as follows:</w:t>
      </w:r>
    </w:p>
    <w:tbl>
      <w:tblPr>
        <w:tblW w:w="5771" w:type="dxa"/>
        <w:jc w:val="center"/>
        <w:tblInd w:w="0" w:type="dxa"/>
        <w:tblLayout w:type="fixed"/>
        <w:tblCellMar>
          <w:top w:w="28" w:type="dxa"/>
          <w:left w:w="28" w:type="dxa"/>
          <w:bottom w:w="28" w:type="dxa"/>
          <w:right w:w="28" w:type="dxa"/>
        </w:tblCellMar>
      </w:tblPr>
      <w:tblGrid>
        <w:gridCol w:w="881"/>
        <w:gridCol w:w="772"/>
        <w:gridCol w:w="777"/>
        <w:gridCol w:w="229"/>
        <w:gridCol w:w="898"/>
        <w:gridCol w:w="118"/>
        <w:gridCol w:w="109"/>
        <w:gridCol w:w="109"/>
        <w:gridCol w:w="109"/>
        <w:gridCol w:w="313"/>
        <w:gridCol w:w="1228"/>
        <w:gridCol w:w="228"/>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310,582 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104,587 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Gains and losses to measure our investments in marketable equity and debt securities at fair value were included in “Gain (loss) on marketable securities” on our Condensed Consolidated Statements of Comprehensive Income. Our unrealized net gains (losses), which are calculated as total net gains (losses) recognized during the period less net gains (losses) recognized on securities sold during the period, were as follows:</w:t>
      </w:r>
    </w:p>
    <w:tbl>
      <w:tblPr>
        <w:tblW w:w="9833" w:type="dxa"/>
        <w:jc w:val="center"/>
        <w:tblInd w:w="0" w:type="dxa"/>
        <w:tblLayout w:type="fixed"/>
        <w:tblCellMar>
          <w:top w:w="28" w:type="dxa"/>
          <w:left w:w="28" w:type="dxa"/>
          <w:bottom w:w="28" w:type="dxa"/>
          <w:right w:w="28" w:type="dxa"/>
        </w:tblCellMar>
      </w:tblPr>
      <w:tblGrid>
        <w:gridCol w:w="1620"/>
        <w:gridCol w:w="1423"/>
        <w:gridCol w:w="1427"/>
        <w:gridCol w:w="224"/>
        <w:gridCol w:w="768"/>
        <w:gridCol w:w="116"/>
        <w:gridCol w:w="116"/>
        <w:gridCol w:w="116"/>
        <w:gridCol w:w="116"/>
        <w:gridCol w:w="224"/>
        <w:gridCol w:w="736"/>
        <w:gridCol w:w="116"/>
        <w:gridCol w:w="109"/>
        <w:gridCol w:w="109"/>
        <w:gridCol w:w="109"/>
        <w:gridCol w:w="225"/>
        <w:gridCol w:w="769"/>
        <w:gridCol w:w="116"/>
        <w:gridCol w:w="116"/>
        <w:gridCol w:w="116"/>
        <w:gridCol w:w="116"/>
        <w:gridCol w:w="225"/>
        <w:gridCol w:w="657"/>
        <w:gridCol w:w="164"/>
      </w:tblGrid>
      <w:tr>
        <w:trPr/>
        <w:tc>
          <w:tcPr>
            <w:tcW w:w="16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equity securities</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rPr>
        <w:t>On December 2, 2024, we paid $44,900 to acquire a 12.5% membership interest in Jett Texas Company LLC (“Jett”), an investment company, as part of the financing of Jett's investment in the CB&amp;I storage solutions business, a designer and builder of storage facilities, tanks and terminals for energy and industrial markets, formerly owned by McDermott International, Ltd. Our investment, which is included in “Investments” on our Condensed Consolidated Balance Sheets, is measured using the equity method of accounting, wherein the carrying value of our investment is initially recorded at cost basis and subsequently adjusted for our proportionate share of earnings</w:t>
      </w:r>
      <w:r>
        <w:rPr>
          <w:color w:val="000000"/>
          <w:shd w:fill="FFFFFF" w:val="clear"/>
        </w:rPr>
        <w:t xml:space="preserve"> </w:t>
      </w:r>
      <w:r>
        <w:rPr>
          <w:rFonts w:ascii="Times New Roman;serif" w:hAnsi="Times New Roman;serif"/>
          <w:b w:val="false"/>
          <w:color w:val="000000"/>
          <w:sz w:val="20"/>
          <w:shd w:fill="FFFFFF" w:val="clear"/>
        </w:rPr>
        <w:t>or losses, additional investments, and distributions. We recorded no earnings on our investment in Jett in the three months ended June 30, 2026 and $4,226 in the nine months ended June 30, 2026 and the carrying value of our investment in Jett was $63,888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FAIR VALUE MEASUREMENTS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 Accounting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is considered the price to sell an asset, or transfer a liability, between market participants on the measurement date. Fair value measurements assume that (1) the asset or liability is exchanged in an orderly manner, (2) the exchange is in the principal market for that asset or liability, and (3) the market participants are independent, knowledgeable, and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values of cash and cash equivalents, restricted cash, accounts receivable, accounts payable and contract assets and liabilities approximate fair values due to their short-term nature. The carrying value of borrowings under our revolving credit facility approximates fair value as its effective interest rate is variable and approximates market rates.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June 30, 2026 and September 30, 2025, financial assets and liabilities measured at fair value on a recurring basis were limited to investments in marketable equity securities classified as trading securities, our executive savings plan, under which certain employees are permitted to defer a portion of their base salary and/or bonus for a Plan Year (as defined in the plan), and contingent consideration liabilities related to certain of our acquisitions.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assets (liabilities) measured at fair value on a recurring basis as of June 30, 2026 and September 30, 2025, are summarized in the following tables by the type of inputs applicable to the fair value measurements:</w:t>
      </w:r>
    </w:p>
    <w:tbl>
      <w:tblPr>
        <w:tblW w:w="10205" w:type="dxa"/>
        <w:jc w:val="center"/>
        <w:tblInd w:w="0" w:type="dxa"/>
        <w:tblLayout w:type="fixed"/>
        <w:tblCellMar>
          <w:top w:w="28" w:type="dxa"/>
          <w:left w:w="28" w:type="dxa"/>
          <w:bottom w:w="28" w:type="dxa"/>
          <w:right w:w="28" w:type="dxa"/>
        </w:tblCellMar>
      </w:tblPr>
      <w:tblGrid>
        <w:gridCol w:w="933"/>
        <w:gridCol w:w="724"/>
        <w:gridCol w:w="728"/>
        <w:gridCol w:w="109"/>
        <w:gridCol w:w="109"/>
        <w:gridCol w:w="109"/>
        <w:gridCol w:w="109"/>
        <w:gridCol w:w="109"/>
        <w:gridCol w:w="109"/>
        <w:gridCol w:w="474"/>
        <w:gridCol w:w="435"/>
        <w:gridCol w:w="388"/>
        <w:gridCol w:w="109"/>
        <w:gridCol w:w="109"/>
        <w:gridCol w:w="109"/>
        <w:gridCol w:w="109"/>
        <w:gridCol w:w="109"/>
        <w:gridCol w:w="109"/>
        <w:gridCol w:w="644"/>
        <w:gridCol w:w="533"/>
        <w:gridCol w:w="536"/>
        <w:gridCol w:w="109"/>
        <w:gridCol w:w="109"/>
        <w:gridCol w:w="109"/>
        <w:gridCol w:w="109"/>
        <w:gridCol w:w="109"/>
        <w:gridCol w:w="109"/>
        <w:gridCol w:w="831"/>
        <w:gridCol w:w="831"/>
        <w:gridCol w:w="1186"/>
      </w:tblGrid>
      <w:tr>
        <w:trPr/>
        <w:tc>
          <w:tcPr>
            <w:tcW w:w="93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 Unobservable Inputs (Level 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310,582 </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310,582 </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savings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savings plan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308,219 </w:t>
            </w:r>
          </w:p>
        </w:tc>
        <w:tc>
          <w:tcPr>
            <w:tcW w:w="3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310,719 </w:t>
            </w:r>
          </w:p>
        </w:tc>
        <w:tc>
          <w:tcPr>
            <w:tcW w:w="5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33"/>
        <w:gridCol w:w="724"/>
        <w:gridCol w:w="728"/>
        <w:gridCol w:w="109"/>
        <w:gridCol w:w="109"/>
        <w:gridCol w:w="109"/>
        <w:gridCol w:w="109"/>
        <w:gridCol w:w="109"/>
        <w:gridCol w:w="109"/>
        <w:gridCol w:w="474"/>
        <w:gridCol w:w="435"/>
        <w:gridCol w:w="388"/>
        <w:gridCol w:w="109"/>
        <w:gridCol w:w="109"/>
        <w:gridCol w:w="109"/>
        <w:gridCol w:w="109"/>
        <w:gridCol w:w="109"/>
        <w:gridCol w:w="109"/>
        <w:gridCol w:w="644"/>
        <w:gridCol w:w="533"/>
        <w:gridCol w:w="536"/>
        <w:gridCol w:w="109"/>
        <w:gridCol w:w="109"/>
        <w:gridCol w:w="109"/>
        <w:gridCol w:w="109"/>
        <w:gridCol w:w="109"/>
        <w:gridCol w:w="109"/>
        <w:gridCol w:w="831"/>
        <w:gridCol w:w="831"/>
        <w:gridCol w:w="1186"/>
      </w:tblGrid>
      <w:tr>
        <w:trPr/>
        <w:tc>
          <w:tcPr>
            <w:tcW w:w="93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 Unobservable Inputs (Level 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104,587 </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104,587 </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savings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savings plan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102,610 </w:t>
            </w:r>
          </w:p>
        </w:tc>
        <w:tc>
          <w:tcPr>
            <w:tcW w:w="3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104,723 </w:t>
            </w:r>
          </w:p>
        </w:tc>
        <w:tc>
          <w:tcPr>
            <w:tcW w:w="5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 2024, we entered into a contingent consideration arrangement in connection with the acquisition of Greiner Industries, Inc. The fair value of this liability, which is included in "Accounts payable and accrued expenses" in our Condensed Consolidated Balance Sheets, is measured on a recurring basis classified within Level 3 of the fair value hierarchy. Net adjustments to fair value of such liabilities are included in Contingent consideration in our Condensed Consolidated Statements of Comprehensive Income.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change in fair value of liabilities measured using significant unobservable inputs (Level 3).</w:t>
      </w:r>
    </w:p>
    <w:tbl>
      <w:tblPr>
        <w:tblW w:w="9105" w:type="dxa"/>
        <w:jc w:val="center"/>
        <w:tblInd w:w="0" w:type="dxa"/>
        <w:tblLayout w:type="fixed"/>
        <w:tblCellMar>
          <w:top w:w="28" w:type="dxa"/>
          <w:left w:w="28" w:type="dxa"/>
          <w:bottom w:w="28" w:type="dxa"/>
          <w:right w:w="28" w:type="dxa"/>
        </w:tblCellMar>
      </w:tblPr>
      <w:tblGrid>
        <w:gridCol w:w="2072"/>
        <w:gridCol w:w="1826"/>
        <w:gridCol w:w="1832"/>
        <w:gridCol w:w="109"/>
        <w:gridCol w:w="109"/>
        <w:gridCol w:w="109"/>
        <w:gridCol w:w="640"/>
        <w:gridCol w:w="1919"/>
        <w:gridCol w:w="335"/>
        <w:gridCol w:w="154"/>
      </w:tblGrid>
      <w:tr>
        <w:trPr/>
        <w:tc>
          <w:tcPr>
            <w:tcW w:w="2072"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adjustments to fair value included in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3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INVENTORY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Inventories consist of the following components:</w:t>
      </w:r>
    </w:p>
    <w:tbl>
      <w:tblPr>
        <w:tblW w:w="4971" w:type="dxa"/>
        <w:jc w:val="center"/>
        <w:tblInd w:w="0" w:type="dxa"/>
        <w:tblLayout w:type="fixed"/>
        <w:tblCellMar>
          <w:top w:w="28" w:type="dxa"/>
          <w:left w:w="28" w:type="dxa"/>
          <w:bottom w:w="28" w:type="dxa"/>
          <w:right w:w="28" w:type="dxa"/>
        </w:tblCellMar>
      </w:tblPr>
      <w:tblGrid>
        <w:gridCol w:w="291"/>
        <w:gridCol w:w="255"/>
        <w:gridCol w:w="255"/>
        <w:gridCol w:w="255"/>
        <w:gridCol w:w="255"/>
        <w:gridCol w:w="262"/>
        <w:gridCol w:w="130"/>
        <w:gridCol w:w="130"/>
        <w:gridCol w:w="130"/>
        <w:gridCol w:w="412"/>
        <w:gridCol w:w="414"/>
        <w:gridCol w:w="130"/>
        <w:gridCol w:w="109"/>
        <w:gridCol w:w="109"/>
        <w:gridCol w:w="109"/>
        <w:gridCol w:w="202"/>
        <w:gridCol w:w="202"/>
        <w:gridCol w:w="202"/>
        <w:gridCol w:w="412"/>
        <w:gridCol w:w="414"/>
        <w:gridCol w:w="293"/>
      </w:tblGrid>
      <w:tr>
        <w:trPr/>
        <w:tc>
          <w:tcPr>
            <w:tcW w:w="2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5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30,231 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supplies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9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133,602 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111,536 </w:t>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GOODWILL AND INTANGIBLE ASSETS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changes in the carrying value of goodwill by segment during the nine months ended June 30, 2026:</w:t>
      </w:r>
    </w:p>
    <w:tbl>
      <w:tblPr>
        <w:tblW w:w="10205" w:type="dxa"/>
        <w:jc w:val="center"/>
        <w:tblInd w:w="0" w:type="dxa"/>
        <w:tblLayout w:type="fixed"/>
        <w:tblCellMar>
          <w:top w:w="28" w:type="dxa"/>
          <w:left w:w="28" w:type="dxa"/>
          <w:bottom w:w="28" w:type="dxa"/>
          <w:right w:w="28" w:type="dxa"/>
        </w:tblCellMar>
      </w:tblPr>
      <w:tblGrid>
        <w:gridCol w:w="720"/>
        <w:gridCol w:w="541"/>
        <w:gridCol w:w="542"/>
        <w:gridCol w:w="109"/>
        <w:gridCol w:w="109"/>
        <w:gridCol w:w="109"/>
        <w:gridCol w:w="304"/>
        <w:gridCol w:w="1039"/>
        <w:gridCol w:w="158"/>
        <w:gridCol w:w="109"/>
        <w:gridCol w:w="109"/>
        <w:gridCol w:w="109"/>
        <w:gridCol w:w="211"/>
        <w:gridCol w:w="721"/>
        <w:gridCol w:w="109"/>
        <w:gridCol w:w="109"/>
        <w:gridCol w:w="109"/>
        <w:gridCol w:w="109"/>
        <w:gridCol w:w="307"/>
        <w:gridCol w:w="1053"/>
        <w:gridCol w:w="160"/>
        <w:gridCol w:w="109"/>
        <w:gridCol w:w="109"/>
        <w:gridCol w:w="109"/>
        <w:gridCol w:w="438"/>
        <w:gridCol w:w="844"/>
        <w:gridCol w:w="228"/>
        <w:gridCol w:w="109"/>
        <w:gridCol w:w="109"/>
        <w:gridCol w:w="109"/>
        <w:gridCol w:w="211"/>
        <w:gridCol w:w="826"/>
        <w:gridCol w:w="158"/>
      </w:tblGrid>
      <w:tr>
        <w:trPr/>
        <w:tc>
          <w:tcPr>
            <w:tcW w:w="72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65,871 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129,577 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(1) On January 16, 2026, the Company acquired all of the outstanding common stock of Gulf Island Fabrication, Inc. for a purchase price of $152,042, net of cash acquired. The valuation of goodwill is preliminary as of the date of this report, and is subject to change.</w:t>
      </w:r>
    </w:p>
    <w:p>
      <w:pPr>
        <w:pStyle w:val="TextBody"/>
        <w:bidi w:val="0"/>
        <w:spacing w:before="0" w:after="60"/>
        <w:jc w:val="left"/>
        <w:rPr/>
      </w:pPr>
      <w:r>
        <w:rPr/>
      </w:r>
    </w:p>
    <w:p>
      <w:pPr>
        <w:pStyle w:val="TextBody"/>
        <w:bidi w:val="0"/>
        <w:spacing w:lineRule="auto" w:line="256" w:before="0" w:after="0"/>
        <w:jc w:val="both"/>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w:t>
      </w:r>
    </w:p>
    <w:tbl>
      <w:tblPr>
        <w:tblW w:w="10205" w:type="dxa"/>
        <w:jc w:val="left"/>
        <w:tblInd w:w="0" w:type="dxa"/>
        <w:tblLayout w:type="fixed"/>
        <w:tblCellMar>
          <w:top w:w="28" w:type="dxa"/>
          <w:left w:w="28" w:type="dxa"/>
          <w:bottom w:w="28" w:type="dxa"/>
          <w:right w:w="28" w:type="dxa"/>
        </w:tblCellMar>
      </w:tblPr>
      <w:tblGrid>
        <w:gridCol w:w="448"/>
        <w:gridCol w:w="395"/>
        <w:gridCol w:w="333"/>
        <w:gridCol w:w="298"/>
        <w:gridCol w:w="298"/>
        <w:gridCol w:w="302"/>
        <w:gridCol w:w="109"/>
        <w:gridCol w:w="109"/>
        <w:gridCol w:w="109"/>
        <w:gridCol w:w="185"/>
        <w:gridCol w:w="185"/>
        <w:gridCol w:w="185"/>
        <w:gridCol w:w="185"/>
        <w:gridCol w:w="185"/>
        <w:gridCol w:w="185"/>
        <w:gridCol w:w="185"/>
        <w:gridCol w:w="185"/>
        <w:gridCol w:w="185"/>
        <w:gridCol w:w="109"/>
        <w:gridCol w:w="109"/>
        <w:gridCol w:w="109"/>
        <w:gridCol w:w="109"/>
        <w:gridCol w:w="109"/>
        <w:gridCol w:w="109"/>
        <w:gridCol w:w="272"/>
        <w:gridCol w:w="1065"/>
        <w:gridCol w:w="140"/>
        <w:gridCol w:w="109"/>
        <w:gridCol w:w="109"/>
        <w:gridCol w:w="109"/>
        <w:gridCol w:w="109"/>
        <w:gridCol w:w="109"/>
        <w:gridCol w:w="109"/>
        <w:gridCol w:w="320"/>
        <w:gridCol w:w="1121"/>
        <w:gridCol w:w="168"/>
        <w:gridCol w:w="109"/>
        <w:gridCol w:w="109"/>
        <w:gridCol w:w="109"/>
        <w:gridCol w:w="109"/>
        <w:gridCol w:w="109"/>
        <w:gridCol w:w="109"/>
        <w:gridCol w:w="211"/>
        <w:gridCol w:w="721"/>
        <w:gridCol w:w="159"/>
      </w:tblGrid>
      <w:tr>
        <w:trPr/>
        <w:tc>
          <w:tcPr>
            <w:tcW w:w="44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Useful Lives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20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20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21,089 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(10,379)</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Technical library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117,892 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Non-competition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and construction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141,578 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(87,341)</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54,237 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48"/>
        <w:gridCol w:w="395"/>
        <w:gridCol w:w="333"/>
        <w:gridCol w:w="298"/>
        <w:gridCol w:w="298"/>
        <w:gridCol w:w="302"/>
        <w:gridCol w:w="109"/>
        <w:gridCol w:w="109"/>
        <w:gridCol w:w="109"/>
        <w:gridCol w:w="185"/>
        <w:gridCol w:w="185"/>
        <w:gridCol w:w="185"/>
        <w:gridCol w:w="185"/>
        <w:gridCol w:w="185"/>
        <w:gridCol w:w="185"/>
        <w:gridCol w:w="185"/>
        <w:gridCol w:w="185"/>
        <w:gridCol w:w="185"/>
        <w:gridCol w:w="109"/>
        <w:gridCol w:w="109"/>
        <w:gridCol w:w="109"/>
        <w:gridCol w:w="109"/>
        <w:gridCol w:w="109"/>
        <w:gridCol w:w="109"/>
        <w:gridCol w:w="272"/>
        <w:gridCol w:w="1065"/>
        <w:gridCol w:w="140"/>
        <w:gridCol w:w="109"/>
        <w:gridCol w:w="109"/>
        <w:gridCol w:w="109"/>
        <w:gridCol w:w="109"/>
        <w:gridCol w:w="109"/>
        <w:gridCol w:w="109"/>
        <w:gridCol w:w="320"/>
        <w:gridCol w:w="1121"/>
        <w:gridCol w:w="168"/>
        <w:gridCol w:w="109"/>
        <w:gridCol w:w="109"/>
        <w:gridCol w:w="109"/>
        <w:gridCol w:w="109"/>
        <w:gridCol w:w="109"/>
        <w:gridCol w:w="109"/>
        <w:gridCol w:w="211"/>
        <w:gridCol w:w="721"/>
        <w:gridCol w:w="159"/>
      </w:tblGrid>
      <w:tr>
        <w:trPr/>
        <w:tc>
          <w:tcPr>
            <w:tcW w:w="44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Useful Lives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20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16,199 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(8,549)</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Technical library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Non-competition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and construction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117,168 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(75,523)</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41,645 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Legal Matters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flows. With respect to all such proceedings, we record reserves when it is probable that a liability has been incurred and the amount of loss can be reasonably estimated. We expense routine legal costs related to these proceedings as they are incurred.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course of performing work as a subcontractor, from time to time we may be involved in projects which are the subject of contractual disputes between the general contractor and project owner, or between us and the general contractor. In such cases, payment of amounts owed to us by the general contractor may be delayed as contractual disputes are resolved through mediation, arbitration, or litigation. Such disputes may cause us to incur legal fees and other expenses to enforce our contractual rights, and we may not prevail in recovering all amounts to which we believe we are contractually entitled.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 policies. Losses are accrued based upon our known claims incurred and an estimate of claims incurred but not reported. As a result, many of our claims are effectively self-insured. Many claims against our insurance are in the form of litigation. At June 30, 2026 and September 30, 2025, we had $14,838 and $12,131, respectively, accrued for self-insurance liabilities.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June 30, 2026 and September 30, 2025, $12,210 and $5,545, respectively, of our outstanding letters of credit was utilized to collateralize our insurance program.</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Surety</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the estimated cost to complete our bonded projects was approximately $400,940.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June 30, 2026, we had firm commitments of $12,701 outstanding under agreements to purchase materials over the next 12 months in the ordinary course of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BUSINESS COMBINATIONS AND DIVESTITURES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Business combinations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16, 2026, the Company acquired 100% of the common stock of Gulf Island Fabrication, Inc. (“Gulf Island”), a steel fabricator and service provider for the industrial, energy and government sectors, for a purchase price of $152,042, net of cash acquired. Gulf Island is a part of our Infrastructure Solutions segment and continues to operate under the Gulf Island name. The acquisition of Gulf Island expands our fabrication capabilities and our presence in the energy and other markets, and will add capacity for IES's custom engineered solutions. The following table provides a summary of the total allocable purchase price for the acquisition of Gulf Island:</w:t>
      </w:r>
    </w:p>
    <w:p>
      <w:pPr>
        <w:pStyle w:val="TextBody"/>
        <w:bidi w:val="0"/>
        <w:spacing w:before="0" w:after="0"/>
        <w:jc w:val="left"/>
        <w:rPr/>
      </w:pPr>
      <w:r>
        <w:rPr/>
      </w:r>
    </w:p>
    <w:tbl>
      <w:tblPr>
        <w:tblW w:w="6656" w:type="dxa"/>
        <w:jc w:val="center"/>
        <w:tblInd w:w="0" w:type="dxa"/>
        <w:tblLayout w:type="fixed"/>
        <w:tblCellMar>
          <w:top w:w="28" w:type="dxa"/>
          <w:left w:w="28" w:type="dxa"/>
          <w:bottom w:w="28" w:type="dxa"/>
          <w:right w:w="28" w:type="dxa"/>
        </w:tblCellMar>
      </w:tblPr>
      <w:tblGrid>
        <w:gridCol w:w="1542"/>
        <w:gridCol w:w="1355"/>
        <w:gridCol w:w="1362"/>
        <w:gridCol w:w="109"/>
        <w:gridCol w:w="109"/>
        <w:gridCol w:w="109"/>
        <w:gridCol w:w="366"/>
        <w:gridCol w:w="1435"/>
        <w:gridCol w:w="269"/>
      </w:tblGrid>
      <w:tr>
        <w:trPr/>
        <w:tc>
          <w:tcPr>
            <w:tcW w:w="154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Purchase Consideration</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143,108 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stock-based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previously held interest in Gulf Island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allocable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152,042 </w:t>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remeasured our previously held interest in Gulf Island to its fair value of $6,791 and realized a remeasurement gain of $2,818, representing the difference between the carrying value of that interest at September 30, 2025 and its fair value immediately prior to our acquisition of the remaining outstanding shares. Prior to the acquisition of the remaining outstanding shares of Gulf Island, we accounted for our initial investment as a trading security and recorded a gain or loss in each period to adjust the carrying value of the securities to fair value at each period end. The net impact of the change in value of our previously held interest in Gulf Island, inclusive of the final realized gain, was $17 and $2,818 for the three and nine months ended June 30, 2026, and is included in Gain (loss) on marketable securities in the Company's Condensed Consolidated Statements of Comprehensive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accounted for the transaction under the acquisition method of accounting, which requires recording assets and liabilities at fair value (Level 3). The preliminary purchase price allocation is subject to valuation activities that are currently underway; therefore, the allocation of purchase price is subject to change, and is expected to result in adjustments to the preliminary amounts recorded. The preliminary valuation of the assets acquired and liabilities assumed is as follows:</w:t>
      </w:r>
    </w:p>
    <w:p>
      <w:pPr>
        <w:pStyle w:val="TextBody"/>
        <w:bidi w:val="0"/>
        <w:spacing w:before="0" w:after="0"/>
        <w:jc w:val="left"/>
        <w:rPr/>
      </w:pPr>
      <w:r>
        <w:rPr/>
      </w:r>
    </w:p>
    <w:tbl>
      <w:tblPr>
        <w:tblW w:w="4458" w:type="dxa"/>
        <w:jc w:val="center"/>
        <w:tblInd w:w="0" w:type="dxa"/>
        <w:tblLayout w:type="fixed"/>
        <w:tblCellMar>
          <w:top w:w="28" w:type="dxa"/>
          <w:left w:w="28" w:type="dxa"/>
          <w:bottom w:w="28" w:type="dxa"/>
          <w:right w:w="28" w:type="dxa"/>
        </w:tblCellMar>
      </w:tblPr>
      <w:tblGrid>
        <w:gridCol w:w="1065"/>
        <w:gridCol w:w="936"/>
        <w:gridCol w:w="939"/>
        <w:gridCol w:w="109"/>
        <w:gridCol w:w="109"/>
        <w:gridCol w:w="109"/>
        <w:gridCol w:w="211"/>
        <w:gridCol w:w="82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 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 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152,042 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connection with this acquisition, we acquired good</w:t>
      </w:r>
      <w:r>
        <w:rPr>
          <w:rFonts w:ascii="Times New Roman;serif" w:hAnsi="Times New Roman;serif"/>
          <w:b w:val="false"/>
          <w:color w:val="000000"/>
          <w:sz w:val="20"/>
          <w:shd w:fill="FFFFFF" w:val="clear"/>
        </w:rPr>
        <w:t>will of $21,747, of which $3,342 is tax deductible, attributable to an assembled workforce and other intangible assets that do not qualify for separate r</w:t>
      </w:r>
      <w:r>
        <w:rPr>
          <w:rFonts w:ascii="Times New Roman;serif" w:hAnsi="Times New Roman;serif"/>
          <w:b w:val="false"/>
          <w:color w:val="000000"/>
          <w:sz w:val="20"/>
        </w:rPr>
        <w:t>ecognition. The intangible assets acquired primarily consisted of customer relationships and trade name with a weighted-average amortization period of 8.0 years and 4.0 years,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Gulf Island contributed revenue of $51,736 and $89,229 and operating income of $1,768 and $583 during the three and nine months ended June 30, 2026,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14. SUPPLEMENTAL CASH FLOW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provides a reconciliation of the components of cash, cash equivalents and restricted cash to the amounts reported on our Condensed Consolidated Balance Sheets as of June 30, 2026 and 2025, which sum to the amounts shown in our Condensed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Cash Flows for the nine months ended June 30, 2025. </w:t>
      </w:r>
    </w:p>
    <w:p>
      <w:pPr>
        <w:pStyle w:val="TextBody"/>
        <w:bidi w:val="0"/>
        <w:spacing w:before="0" w:after="0"/>
        <w:jc w:val="left"/>
        <w:rPr/>
      </w:pPr>
      <w:r>
        <w:rPr/>
      </w:r>
    </w:p>
    <w:tbl>
      <w:tblPr>
        <w:tblW w:w="6694" w:type="dxa"/>
        <w:jc w:val="left"/>
        <w:tblInd w:w="0" w:type="dxa"/>
        <w:tblLayout w:type="fixed"/>
        <w:tblCellMar>
          <w:top w:w="28" w:type="dxa"/>
          <w:left w:w="28" w:type="dxa"/>
          <w:bottom w:w="28" w:type="dxa"/>
          <w:right w:w="28" w:type="dxa"/>
        </w:tblCellMar>
      </w:tblPr>
      <w:tblGrid>
        <w:gridCol w:w="124"/>
        <w:gridCol w:w="109"/>
        <w:gridCol w:w="109"/>
        <w:gridCol w:w="1016"/>
        <w:gridCol w:w="1016"/>
        <w:gridCol w:w="1019"/>
        <w:gridCol w:w="147"/>
        <w:gridCol w:w="147"/>
        <w:gridCol w:w="147"/>
        <w:gridCol w:w="252"/>
        <w:gridCol w:w="862"/>
        <w:gridCol w:w="130"/>
        <w:gridCol w:w="109"/>
        <w:gridCol w:w="109"/>
        <w:gridCol w:w="109"/>
        <w:gridCol w:w="228"/>
        <w:gridCol w:w="895"/>
        <w:gridCol w:w="1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77,278 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108,448 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cash and noncash activities in the nine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552"/>
        <w:gridCol w:w="454"/>
        <w:gridCol w:w="432"/>
        <w:gridCol w:w="914"/>
        <w:gridCol w:w="848"/>
        <w:gridCol w:w="848"/>
        <w:gridCol w:w="848"/>
        <w:gridCol w:w="848"/>
        <w:gridCol w:w="848"/>
        <w:gridCol w:w="343"/>
        <w:gridCol w:w="343"/>
        <w:gridCol w:w="361"/>
        <w:gridCol w:w="211"/>
        <w:gridCol w:w="826"/>
        <w:gridCol w:w="109"/>
        <w:gridCol w:w="109"/>
        <w:gridCol w:w="109"/>
        <w:gridCol w:w="109"/>
        <w:gridCol w:w="211"/>
        <w:gridCol w:w="721"/>
        <w:gridCol w:w="161"/>
      </w:tblGrid>
      <w:tr>
        <w:trPr/>
        <w:tc>
          <w:tcPr>
            <w:tcW w:w="5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63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paid for income taxes, net </w:t>
            </w:r>
            <w:r>
              <w:rPr>
                <w:rFonts w:ascii="Times New Roman;serif" w:hAnsi="Times New Roman;serif"/>
                <w:b w:val="false"/>
                <w:color w:val="000000"/>
                <w:sz w:val="13"/>
              </w:rPr>
              <w:t>(1)</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NONCASH ACTIVITIES:</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tcPr>
          <w:p>
            <w:pPr>
              <w:pStyle w:val="TableContents"/>
              <w:bidi w:val="0"/>
              <w:spacing w:before="0" w:after="283"/>
              <w:jc w:val="left"/>
              <w:rPr>
                <w:sz w:val="4"/>
                <w:szCs w:val="4"/>
              </w:rPr>
            </w:pPr>
            <w:r>
              <w:rPr>
                <w:sz w:val="4"/>
                <w:szCs w:val="4"/>
              </w:rPr>
            </w:r>
          </w:p>
        </w:tc>
      </w:tr>
      <w:tr>
        <w:trPr/>
        <w:tc>
          <w:tcPr>
            <w:tcW w:w="1438"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tcPr>
          <w:p>
            <w:pPr>
              <w:pStyle w:val="TableContents"/>
              <w:bidi w:val="0"/>
              <w:spacing w:before="0" w:after="283"/>
              <w:jc w:val="left"/>
              <w:rPr>
                <w:sz w:val="4"/>
                <w:szCs w:val="4"/>
              </w:rPr>
            </w:pPr>
            <w:r>
              <w:rPr>
                <w:sz w:val="4"/>
                <w:szCs w:val="4"/>
              </w:rPr>
            </w:r>
          </w:p>
        </w:tc>
      </w:tr>
      <w:tr>
        <w:trPr/>
        <w:tc>
          <w:tcPr>
            <w:tcW w:w="1438"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tcPr>
          <w:p>
            <w:pPr>
              <w:pStyle w:val="TableContents"/>
              <w:bidi w:val="0"/>
              <w:spacing w:before="0" w:after="283"/>
              <w:jc w:val="left"/>
              <w:rPr>
                <w:sz w:val="4"/>
                <w:szCs w:val="4"/>
              </w:rPr>
            </w:pPr>
            <w:r>
              <w:rPr>
                <w:sz w:val="4"/>
                <w:szCs w:val="4"/>
              </w:rPr>
            </w:r>
          </w:p>
        </w:tc>
      </w:tr>
      <w:tr>
        <w:trPr/>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(1) The amount for the nine months ended June 30, 2026 includes $52,573 paid to a third party to purchase transferrable federal income tax credits.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29, 2026, our Board of Directors approved a two-for-one stock split of our common stock, to be paid in the form of a stock dividend, with a record date of August 14, 2026 and a distribution date of August 21, 2026. Upon distribution, total shares of common stock outstanding will increase from approximately 20 million shares to approximately 40 million shares. In connection with the stock dividend, we will reclassify approximately $220 from additional paid-in capital to common stock, based on the par value of $0.01 per share of the newly distributed shares. All share and per share data, including earnings per share, have not been retroactively adjusted to reflect the stock dividend, as it was not effective as of the issuance date of these financial statements. Such retrospective adjustments will be reflected in the Company's future filings in accordance with ASC 260-10-55-12.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ind w:left="0" w:right="0" w:hanging="1260"/>
        <w:jc w:val="both"/>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p>
    <w:p>
      <w:pPr>
        <w:pStyle w:val="TextBody"/>
        <w:bidi w:val="0"/>
        <w:spacing w:before="0" w:after="0"/>
        <w:ind w:left="0" w:right="0" w:hanging="126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The following discussion and analysis should be read in conjunction with our Consolidated Financial Statements and the notes thereto, set forth in Part II, Item 8. </w:t>
      </w:r>
      <w:r>
        <w:rPr>
          <w:color w:val="000000"/>
        </w:rPr>
        <w:t>“</w:t>
      </w:r>
      <w:r>
        <w:rPr>
          <w:rFonts w:ascii="Times New Roman;serif" w:hAnsi="Times New Roman;serif"/>
          <w:b w:val="false"/>
          <w:i/>
          <w:color w:val="000000"/>
          <w:sz w:val="20"/>
        </w:rPr>
        <w:t>Financial Statements and Supplementary Data”</w:t>
      </w:r>
      <w:r>
        <w:rPr>
          <w:color w:val="000000"/>
        </w:rPr>
        <w:t xml:space="preserve"> </w:t>
      </w:r>
      <w:r>
        <w:rPr>
          <w:rFonts w:ascii="Times New Roman;serif" w:hAnsi="Times New Roman;serif"/>
          <w:b w:val="false"/>
          <w:color w:val="000000"/>
          <w:sz w:val="20"/>
        </w:rPr>
        <w:t xml:space="preserve">as set forth in our Annual Report on Form 10-K for the fiscal year ended September 30, 2025, and the Condensed Consolidated Financial Statements and notes thereto included in Part I, Item 1 of this Quarterly Report on Form 10-Q. The following discussion may contain forward looking statements. For additional information, see </w:t>
      </w:r>
      <w:r>
        <w:rPr>
          <w:color w:val="000000"/>
        </w:rPr>
        <w:t>“</w:t>
      </w:r>
      <w:r>
        <w:rPr>
          <w:rFonts w:ascii="Times New Roman;serif" w:hAnsi="Times New Roman;serif"/>
          <w:b w:val="false"/>
          <w:i/>
          <w:color w:val="000000"/>
          <w:sz w:val="20"/>
        </w:rPr>
        <w:t>Disclosure Regarding Forward Looking Statements”</w:t>
      </w:r>
      <w:r>
        <w:rPr>
          <w:color w:val="000000"/>
        </w:rPr>
        <w:t xml:space="preserve"> </w:t>
      </w:r>
      <w:r>
        <w:rPr>
          <w:rFonts w:ascii="Times New Roman;serif" w:hAnsi="Times New Roman;serif"/>
          <w:b w:val="false"/>
          <w:color w:val="000000"/>
          <w:sz w:val="20"/>
        </w:rPr>
        <w:t>in Part I of this Quarterly Report on Form 10-Q.</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Please refer to Part I, Item 1.</w:t>
      </w:r>
      <w:r>
        <w:rPr>
          <w:color w:val="000000"/>
        </w:rPr>
        <w:t xml:space="preserve"> “</w:t>
      </w:r>
      <w:r>
        <w:rPr>
          <w:rFonts w:ascii="Times New Roman;serif" w:hAnsi="Times New Roman;serif"/>
          <w:b w:val="false"/>
          <w:i/>
          <w:color w:val="000000"/>
          <w:sz w:val="20"/>
        </w:rPr>
        <w:t xml:space="preserve">Business” </w:t>
      </w:r>
      <w:r>
        <w:rPr>
          <w:rFonts w:ascii="Times New Roman;serif" w:hAnsi="Times New Roman;serif"/>
          <w:b w:val="false"/>
          <w:color w:val="000000"/>
          <w:sz w:val="20"/>
        </w:rPr>
        <w:t>of our Annual Report on Form 10-K for the fiscal year ended September 30, 2025, for a discussion of the Company’s services and corporate strategy. IES Holdings, Inc., a Delaware corporation, designs and installs integrated electrical and technology systems and provides infrastructure solutions and services to a variety of end markets, including data centers, residential housing, and commercial and industrial facilities. Our operations are organized into four business segments: Communications, Residential, Infrastructure Solutions and Commercial &amp; Industrial.</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Current Market and Operating Conditions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we enter the fourth quarter of fiscal 2026, our remaining performance obligations and backlog are at record levels. Demand with respect to data centers, a key end market served by our Communications, Infrastructure Solutions, and Commercial &amp; Industrial segments, has continued to grow. Investments in capacity we have made in recent years have allowed us to meet our customers' growing needs, and we expect to continue to invest in building our capacity and capabilities. We expect that these strategic investments, combined with our increased backlog, will drive growth in our business in the fourth quarter of the fiscal 2026 and into fiscal 2027. Availability of labor remains challenging, and will continue to be an area of focus for us. While demand is strong for much of our business, our operating segments each have their own unique set of factors influencing demand for our services. In our Residential business, lower demand and reduced housing starts have limited our ability to recover higher material costs through increased pricing, putting pressure on our margins. While we expect challenges in the single-family housing market to continue in the near term, we remain committed to this market, and will work to position the business to benefit when demand conditions improve. In the multi-family residential business, higher borrowing costs for project owners in recent years resulted in a reduction in backlog during fiscal 2025, which drove lower multi-family residential revenue for the first nine months of fiscal 2026 compared with the prior year. Multi-family backlog has increased over the first nine months of fiscal 2026, which we expect will benefit us in fiscal 2027. We are continuing to expand our Plumbing and HVAC offerings and focus on electrical markets where there may be an opportunity to expand our market share.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Holdings, Inc., including the results of acquired businesses from the dates acquired.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1"/>
        <w:gridCol w:w="191"/>
        <w:gridCol w:w="191"/>
        <w:gridCol w:w="1166"/>
        <w:gridCol w:w="1131"/>
        <w:gridCol w:w="1092"/>
        <w:gridCol w:w="211"/>
        <w:gridCol w:w="976"/>
        <w:gridCol w:w="109"/>
        <w:gridCol w:w="109"/>
        <w:gridCol w:w="109"/>
        <w:gridCol w:w="109"/>
        <w:gridCol w:w="308"/>
        <w:gridCol w:w="308"/>
        <w:gridCol w:w="109"/>
        <w:gridCol w:w="109"/>
        <w:gridCol w:w="109"/>
        <w:gridCol w:w="109"/>
        <w:gridCol w:w="109"/>
        <w:gridCol w:w="109"/>
        <w:gridCol w:w="109"/>
        <w:gridCol w:w="211"/>
        <w:gridCol w:w="826"/>
        <w:gridCol w:w="109"/>
        <w:gridCol w:w="109"/>
        <w:gridCol w:w="109"/>
        <w:gridCol w:w="109"/>
        <w:gridCol w:w="308"/>
        <w:gridCol w:w="308"/>
        <w:gridCol w:w="109"/>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33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 and equity method investment income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IES Holdings, Inc.</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revenues for the three months ended June 30, 2026, were $352.5 million higher than for the three months ended June 30, 2025, an increase of 39.6%, with increases at our Communications, Infrastructure Solutions and Commercial &amp; Industrial segments and a decrease at our Residential segment. See further discussion below of changes in revenues for our individual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gross profit for the three months ended June 30, 2026 increased $101.1 million compared to the three months ended June 30, 2025. Our overall gross profit percentage was 27.4% during the three months ended June 30, 2026, as compared to 26.9% during the three months ended June 30, 2025. Gross profit as a percentage of revenue increased at our Communications and Commercial &amp; Industrial segments and decreased at our Residential and Infrastructure Solutions segments. See further discussion below of changes in gross margin for our individual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jc w:val="left"/>
        <w:rPr/>
      </w:pPr>
      <w:r>
        <w:rPr>
          <w:rFonts w:ascii="Times New Roman;serif" w:hAnsi="Times New Roman;serif"/>
          <w:b w:val="false"/>
          <w:color w:val="000000"/>
          <w:sz w:val="20"/>
        </w:rPr>
        <w:t>During the three mon</w:t>
      </w:r>
      <w:r>
        <w:rPr>
          <w:rFonts w:ascii="Times New Roman;serif" w:hAnsi="Times New Roman;serif"/>
          <w:b w:val="false"/>
          <w:color w:val="000000"/>
          <w:sz w:val="20"/>
          <w:shd w:fill="FFFFFF" w:val="clear"/>
        </w:rPr>
        <w:t>ths ended June 30, 2026, our selling, general and administrative expens</w:t>
      </w:r>
      <w:r>
        <w:rPr>
          <w:rFonts w:ascii="Times New Roman;serif" w:hAnsi="Times New Roman;serif"/>
          <w:b w:val="false"/>
          <w:color w:val="000000"/>
          <w:sz w:val="20"/>
        </w:rPr>
        <w:t>es were $162.2 million, an increase of $34.8 million, or 27.4%, over the three months ended June 30, 2025, driven by increased perso</w:t>
      </w:r>
      <w:r>
        <w:rPr>
          <w:rFonts w:ascii="Times New Roman;serif" w:hAnsi="Times New Roman;serif"/>
          <w:b w:val="false"/>
          <w:color w:val="000000"/>
          <w:sz w:val="20"/>
          <w:shd w:fill="FFFFFF" w:val="clear"/>
        </w:rPr>
        <w:t xml:space="preserve">nnel costs across our operating segments to support their growth and increased incentive compensation in connection with higher earnings than in the prior fiscal year. Certain of our stock-based employee compensation awards are expected to be cash-settled upon vesting, and our liability for these awards is adjusted at each period end based on the stock price at the balance sheet date. Expense related to these cash-settled stock-based awards was $11.4 million for the three months ended June 30, 2026, compared to $2.7 million for the three months ended June 30, 2025. The increase in expense was driven primarily by the increase in the price of our common stock. As a percentage of revenue, selling, general and administrative expenses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from 14.3% for the three months ended June 30, 2025 to </w:t>
      </w:r>
      <w:r>
        <w:rPr>
          <w:rFonts w:ascii="Times New Roman;serif" w:hAnsi="Times New Roman;serif"/>
          <w:b w:val="false"/>
          <w:color w:val="000000"/>
          <w:sz w:val="20"/>
        </w:rPr>
        <w:t>13.0%</w:t>
      </w:r>
      <w:r>
        <w:rPr>
          <w:color w:val="000000"/>
          <w:shd w:fill="FFFFFF" w:val="clear"/>
        </w:rPr>
        <w:t xml:space="preserve"> </w:t>
      </w:r>
      <w:r>
        <w:rPr>
          <w:rFonts w:ascii="Times New Roman;serif" w:hAnsi="Times New Roman;serif"/>
          <w:b w:val="false"/>
          <w:color w:val="000000"/>
          <w:sz w:val="20"/>
          <w:shd w:fill="FFFFFF" w:val="clear"/>
        </w:rPr>
        <w:t>for the three months ended June 30, 2026.</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40"/>
        <w:gridCol w:w="140"/>
        <w:gridCol w:w="140"/>
        <w:gridCol w:w="1173"/>
        <w:gridCol w:w="1138"/>
        <w:gridCol w:w="1082"/>
        <w:gridCol w:w="211"/>
        <w:gridCol w:w="976"/>
        <w:gridCol w:w="109"/>
        <w:gridCol w:w="109"/>
        <w:gridCol w:w="109"/>
        <w:gridCol w:w="109"/>
        <w:gridCol w:w="308"/>
        <w:gridCol w:w="308"/>
        <w:gridCol w:w="109"/>
        <w:gridCol w:w="109"/>
        <w:gridCol w:w="109"/>
        <w:gridCol w:w="109"/>
        <w:gridCol w:w="109"/>
        <w:gridCol w:w="109"/>
        <w:gridCol w:w="109"/>
        <w:gridCol w:w="211"/>
        <w:gridCol w:w="976"/>
        <w:gridCol w:w="109"/>
        <w:gridCol w:w="109"/>
        <w:gridCol w:w="109"/>
        <w:gridCol w:w="109"/>
        <w:gridCol w:w="308"/>
        <w:gridCol w:w="308"/>
        <w:gridCol w:w="109"/>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3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 and equity method investment income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IES Holdings, Inc.</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revenues for the nine months ended June 30, 2026 were $614.3 million higher than for the nine months ended June 30, 2025, an increase of 24.8%, with increases at our Communications, Infrastructure Solutions and Commercial &amp; Industrial segments and a decrease at our Residential segment. See further discussion below of changes in revenues for our individual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gross profit for the nine months ended June 30, 2026 increased $189.0 million compared to the nine months ended June 30, 2025. Our overall gross profit percentage increased to 26.4% during the nine months ended June 30, 2026 as compared to 25.3% during the nine months ended June 30, 2025. Gross profit as a percentage of revenue increased at our Communications, Infrastructure Solutions and Commercial &amp; Industrial segments and decreased at our Residential segment. See further discussion below of changes in gross margin for our individual 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During the nine months ended June 30, 2026, our sel</w:t>
      </w:r>
      <w:r>
        <w:rPr>
          <w:rFonts w:ascii="Times New Roman;serif" w:hAnsi="Times New Roman;serif"/>
          <w:b w:val="false"/>
          <w:color w:val="000000"/>
          <w:sz w:val="20"/>
          <w:shd w:fill="FFFFFF" w:val="clear"/>
        </w:rPr>
        <w:t>ling, general and admi</w:t>
      </w:r>
      <w:r>
        <w:rPr>
          <w:rFonts w:ascii="Times New Roman;serif" w:hAnsi="Times New Roman;serif"/>
          <w:b w:val="false"/>
          <w:color w:val="000000"/>
          <w:sz w:val="20"/>
        </w:rPr>
        <w:t>nistrative expenses were $426.4 million, an increase of $80.0 million, or 23.1%, over the nine months ended June 30, 2025, driven pri</w:t>
      </w:r>
      <w:r>
        <w:rPr>
          <w:rFonts w:ascii="Times New Roman;serif" w:hAnsi="Times New Roman;serif"/>
          <w:b w:val="false"/>
          <w:color w:val="000000"/>
          <w:sz w:val="20"/>
          <w:shd w:fill="FFFFFF" w:val="clear"/>
        </w:rPr>
        <w:t>marily by increased personnel costs across our operating segments to support their growth, increased incentive compensation in connection with higher earnings than in the prior fiscal year and continued investment in technology to support the scalability of the business. Expense related to our cash-settled stock-based awards was $17.6 million for the nine months ended June 30, 2026, compared to $3.8 million for the nine months ended June 30, 2025, with the increase in expense driven by an increase in the price of our common stock. Selling, general and administrative expenses as a percentage of revenue decreased from 14.0% for the nine months ended June 30, 2025 t</w:t>
      </w:r>
      <w:r>
        <w:rPr>
          <w:rFonts w:ascii="Times New Roman;serif" w:hAnsi="Times New Roman;serif"/>
          <w:b w:val="false"/>
          <w:color w:val="000000"/>
          <w:sz w:val="20"/>
        </w:rPr>
        <w:t>o 13.8% for the nine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Communications</w:t>
      </w:r>
    </w:p>
    <w:tbl>
      <w:tblPr>
        <w:tblW w:w="9716"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109"/>
        <w:gridCol w:w="109"/>
        <w:gridCol w:w="109"/>
        <w:gridCol w:w="413"/>
        <w:gridCol w:w="413"/>
        <w:gridCol w:w="109"/>
        <w:gridCol w:w="109"/>
        <w:gridCol w:w="109"/>
        <w:gridCol w:w="109"/>
        <w:gridCol w:w="308"/>
        <w:gridCol w:w="308"/>
        <w:gridCol w:w="109"/>
        <w:gridCol w:w="109"/>
        <w:gridCol w:w="109"/>
        <w:gridCol w:w="109"/>
        <w:gridCol w:w="109"/>
        <w:gridCol w:w="109"/>
        <w:gridCol w:w="109"/>
        <w:gridCol w:w="109"/>
        <w:gridCol w:w="109"/>
        <w:gridCol w:w="109"/>
        <w:gridCol w:w="413"/>
        <w:gridCol w:w="413"/>
        <w:gridCol w:w="109"/>
        <w:gridCol w:w="109"/>
        <w:gridCol w:w="109"/>
        <w:gridCol w:w="109"/>
        <w:gridCol w:w="308"/>
        <w:gridCol w:w="30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Our Co</w:t>
      </w:r>
      <w:r>
        <w:rPr>
          <w:rFonts w:ascii="Times New Roman;serif" w:hAnsi="Times New Roman;serif"/>
          <w:b w:val="false"/>
          <w:color w:val="000000"/>
          <w:sz w:val="20"/>
          <w:shd w:fill="FFFFFF" w:val="clear"/>
        </w:rPr>
        <w:t xml:space="preserve">mmunications segment’s revenues increased by $153.9 million during the three months ended June 30, 2026, or 51.4%, compared to the three months ended June 30, 2025. The increase primarily resulted from continued strong demand in the data center market, and our recent capital investments have positioned us well to respond to that demand and deliver solutions to our customers. Demand for our services in the distribution center and high-tech manufacturing end markets also increased year over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Gross Profit. </w:t>
      </w:r>
      <w:r>
        <w:rPr>
          <w:rFonts w:ascii="Times New Roman;serif" w:hAnsi="Times New Roman;serif"/>
          <w:b w:val="false"/>
          <w:color w:val="000000"/>
          <w:sz w:val="20"/>
        </w:rPr>
        <w:t>O</w:t>
      </w:r>
      <w:r>
        <w:rPr>
          <w:rFonts w:ascii="Times New Roman;serif" w:hAnsi="Times New Roman;serif"/>
          <w:b w:val="false"/>
          <w:color w:val="000000"/>
          <w:sz w:val="20"/>
          <w:shd w:fill="FFFFFF" w:val="clear"/>
        </w:rPr>
        <w:t>ur Communications segment’s gross profit during the three months ended June 30, 2026 increased by $45.7 million, or 62.5%, compared to the three months ended June 30, 2025. Gross profit as a percentage of revenue was 26.2% in the three months ended June 30, 2026 compared to 24.4% in the three months ended June 30, 2025. The increase in gross profit and gross margin primarily reflects strong demand as discussed above and successful project execution and improved margins on projects well-suited to our skilled workforce.</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i/>
          <w:color w:val="000000"/>
          <w:sz w:val="20"/>
          <w:shd w:fill="FFFFFF" w:val="clear"/>
        </w:rPr>
        <w:t>Selling, General and Administrative Expenses.</w:t>
      </w:r>
      <w:r>
        <w:rPr>
          <w:color w:val="000000"/>
          <w:shd w:fill="FFFFFF" w:val="clear"/>
        </w:rPr>
        <w:t xml:space="preserve"> </w:t>
      </w:r>
      <w:r>
        <w:rPr>
          <w:rFonts w:ascii="Times New Roman;serif" w:hAnsi="Times New Roman;serif"/>
          <w:b w:val="false"/>
          <w:color w:val="000000"/>
          <w:sz w:val="20"/>
          <w:shd w:fill="FFFFFF" w:val="clear"/>
        </w:rPr>
        <w:t>Our Communications segment’s selling, general and administrative expenses increased by $9.8 million, or 38.7%, during the three months ended June 30, 2026 compared to the three months ended June 30, 2025. The increase primarily reflects higher personnel costs to support business growth and higher incentive compensation as a result of higher earnings. Selling, general and administrative expenses as a percentage of revenue was 7.8% during the three months ended June 30, 2026, compared to 8.5% during the three months ended June 30, 2025 as we benefited from the increased scale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9976"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114"/>
        <w:gridCol w:w="114"/>
        <w:gridCol w:w="114"/>
        <w:gridCol w:w="488"/>
        <w:gridCol w:w="488"/>
        <w:gridCol w:w="114"/>
        <w:gridCol w:w="114"/>
        <w:gridCol w:w="114"/>
        <w:gridCol w:w="114"/>
        <w:gridCol w:w="308"/>
        <w:gridCol w:w="308"/>
        <w:gridCol w:w="114"/>
        <w:gridCol w:w="114"/>
        <w:gridCol w:w="114"/>
        <w:gridCol w:w="114"/>
        <w:gridCol w:w="114"/>
        <w:gridCol w:w="114"/>
        <w:gridCol w:w="114"/>
        <w:gridCol w:w="114"/>
        <w:gridCol w:w="114"/>
        <w:gridCol w:w="114"/>
        <w:gridCol w:w="413"/>
        <w:gridCol w:w="413"/>
        <w:gridCol w:w="114"/>
        <w:gridCol w:w="114"/>
        <w:gridCol w:w="114"/>
        <w:gridCol w:w="114"/>
        <w:gridCol w:w="308"/>
        <w:gridCol w:w="308"/>
        <w:gridCol w:w="114"/>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30"/>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1,172,697 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805,189 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873,752 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620,211 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298,945 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184,978 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202,210 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115,956 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Our Communications se</w:t>
      </w:r>
      <w:r>
        <w:rPr>
          <w:rFonts w:ascii="Times New Roman;serif" w:hAnsi="Times New Roman;serif"/>
          <w:b w:val="false"/>
          <w:color w:val="000000"/>
          <w:sz w:val="20"/>
          <w:shd w:fill="FFFFFF" w:val="clear"/>
        </w:rPr>
        <w:t>gment’s rev</w:t>
      </w:r>
      <w:r>
        <w:rPr>
          <w:rFonts w:ascii="Times New Roman;serif" w:hAnsi="Times New Roman;serif"/>
          <w:b w:val="false"/>
          <w:color w:val="000000"/>
          <w:sz w:val="20"/>
        </w:rPr>
        <w:t>enues increased by $367.5 million, or 45.6%</w:t>
      </w:r>
      <w:r>
        <w:rPr>
          <w:rFonts w:ascii="Times New Roman;serif" w:hAnsi="Times New Roman;serif"/>
          <w:b w:val="false"/>
          <w:color w:val="000000"/>
          <w:sz w:val="20"/>
          <w:shd w:fill="FFFFFF" w:val="clear"/>
        </w:rPr>
        <w:t>, during the nine months ended June 30, 2026, compared to the nine months ended June 30, 2025. Continued strong demand in the data center market was the primary driver of the increase, while demand in the distribution center and high-tech manufacturing end markets also continued to grow.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Gross Profit. </w:t>
      </w:r>
      <w:r>
        <w:rPr>
          <w:rFonts w:ascii="Times New Roman;serif" w:hAnsi="Times New Roman;serif"/>
          <w:b w:val="false"/>
          <w:color w:val="000000"/>
          <w:sz w:val="20"/>
        </w:rPr>
        <w:t>Our Communications segment’s gross profit during the nine months ended June 30, 2026 increased by $114.0 million, or 61.6%, as compared to the nine months ended June 30, 2025. Gross profit as a percentage of revenue increased from 23.0% to 25.5%. The increase in gross pro</w:t>
      </w:r>
      <w:r>
        <w:rPr>
          <w:rFonts w:ascii="Times New Roman;serif" w:hAnsi="Times New Roman;serif"/>
          <w:b w:val="false"/>
          <w:color w:val="000000"/>
          <w:sz w:val="20"/>
          <w:shd w:fill="FFFFFF" w:val="clear"/>
        </w:rPr>
        <w:t>fit and gross margin primarily reflects strong demand as discussed above, successful project execution and improved margins on projects well-suited to our skilled workforce.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 xml:space="preserve">Our Communications segment’s selling, general and administrative expenses increased by $27.2 million, or 39.3%, </w:t>
      </w:r>
      <w:r>
        <w:rPr>
          <w:rFonts w:ascii="Times New Roman;serif" w:hAnsi="Times New Roman;serif"/>
          <w:b w:val="false"/>
          <w:color w:val="000000"/>
          <w:sz w:val="20"/>
          <w:shd w:fill="FFFFFF" w:val="clear"/>
        </w:rPr>
        <w:t xml:space="preserve">during the nine months ended June 30, 2026, compared to the nine months ended June 30, 2025. The </w:t>
      </w:r>
      <w:r>
        <w:rPr>
          <w:rFonts w:ascii="Times New Roman;serif" w:hAnsi="Times New Roman;serif"/>
          <w:b w:val="false"/>
          <w:color w:val="000000"/>
          <w:sz w:val="20"/>
        </w:rPr>
        <w:t>increase primarily reflects higher personnel cost to support business growth and higher incentive compensation as a result of higher earnings.</w:t>
      </w:r>
      <w:r>
        <w:rPr>
          <w:color w:val="000000"/>
          <w:shd w:fill="FFFFFF" w:val="clear"/>
        </w:rPr>
        <w:t xml:space="preserve"> </w:t>
      </w:r>
      <w:r>
        <w:rPr>
          <w:rFonts w:ascii="Times New Roman;serif" w:hAnsi="Times New Roman;serif"/>
          <w:b w:val="false"/>
          <w:color w:val="000000"/>
          <w:sz w:val="20"/>
          <w:shd w:fill="FFFFFF" w:val="clear"/>
        </w:rPr>
        <w:t>Selling, general and administrative expenses as a percentage of revenue wa</w:t>
      </w:r>
      <w:r>
        <w:rPr>
          <w:rFonts w:ascii="Times New Roman;serif" w:hAnsi="Times New Roman;serif"/>
          <w:b w:val="false"/>
          <w:color w:val="000000"/>
          <w:sz w:val="20"/>
        </w:rPr>
        <w:t>s 8.2% fo</w:t>
      </w:r>
      <w:r>
        <w:rPr>
          <w:rFonts w:ascii="Times New Roman;serif" w:hAnsi="Times New Roman;serif"/>
          <w:b w:val="false"/>
          <w:color w:val="000000"/>
          <w:sz w:val="20"/>
          <w:shd w:fill="FFFFFF" w:val="clear"/>
        </w:rPr>
        <w:t>r the nine months ended June 30, 2026 compared with 8.6% during the nine months ended June 30, 2025 as we benefited from the increased scale of our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Residential</w:t>
      </w:r>
    </w:p>
    <w:tbl>
      <w:tblPr>
        <w:tblW w:w="9484"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211"/>
        <w:gridCol w:w="826"/>
        <w:gridCol w:w="109"/>
        <w:gridCol w:w="109"/>
        <w:gridCol w:w="109"/>
        <w:gridCol w:w="109"/>
        <w:gridCol w:w="308"/>
        <w:gridCol w:w="308"/>
        <w:gridCol w:w="109"/>
        <w:gridCol w:w="109"/>
        <w:gridCol w:w="109"/>
        <w:gridCol w:w="109"/>
        <w:gridCol w:w="109"/>
        <w:gridCol w:w="109"/>
        <w:gridCol w:w="109"/>
        <w:gridCol w:w="211"/>
        <w:gridCol w:w="826"/>
        <w:gridCol w:w="109"/>
        <w:gridCol w:w="109"/>
        <w:gridCol w:w="109"/>
        <w:gridCol w:w="109"/>
        <w:gridCol w:w="308"/>
        <w:gridCol w:w="30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 xml:space="preserve">Our Residential segment’s revenues decreased by $21.9 million, or 6.3%, during the three months ended June 30, 2026 compared to the three months ended June 30, 2025. Our single-family electrical revenues decreased by $20.4 million, primarily due to the continued impact of housing affordability and general economic conditions on consumer demand in the single-family housing market leading to a decline in construction volumes and pressure on pricing during the period. Our single-family plumbing and HVAC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revenues increased by $10.9 million compared to the prior year period, with expansion of the plumbing and HVAC trades into new markets offsetting the impact of slowing demand on new home construction. Our multi-family revenues decreased by $12.4 million, or 14.2%, reflecting a d</w:t>
      </w:r>
      <w:r>
        <w:rPr>
          <w:rFonts w:ascii="Times New Roman;serif" w:hAnsi="Times New Roman;serif"/>
          <w:b w:val="false"/>
          <w:color w:val="000000"/>
          <w:sz w:val="20"/>
          <w:shd w:fill="FFFFFF" w:val="clear"/>
        </w:rPr>
        <w:t>ecline in backlog during fiscal 2025 resulting from the impact of elevated interest rates on demand.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Gross Profit. </w:t>
      </w:r>
      <w:r>
        <w:rPr>
          <w:rFonts w:ascii="Times New Roman;serif" w:hAnsi="Times New Roman;serif"/>
          <w:b w:val="false"/>
          <w:color w:val="000000"/>
          <w:sz w:val="20"/>
        </w:rPr>
        <w:t xml:space="preserve">During the three months ended June 30, 2026, our Residential segment's gross profit decreased by $25.2 million, or 25.9%, compared to the three months ended June 30, 2025, driven primarily by lower volume as discussed above. Gross profit as a percentage of revenue decreased to 22.2% during the three months ended June 30, 2026, compared to 28.1% for the three months ended June 30, 2025 </w:t>
      </w:r>
      <w:r>
        <w:rPr>
          <w:rFonts w:ascii="Times New Roman;serif" w:hAnsi="Times New Roman;serif"/>
          <w:b w:val="false"/>
          <w:color w:val="000000"/>
          <w:sz w:val="20"/>
          <w:shd w:fill="FFFFFF" w:val="clear"/>
        </w:rPr>
        <w:t>as the weaker demand environment and pricing pressure from our customers limited our ability to recover higher costs of materials through pricing actions.</w:t>
      </w:r>
    </w:p>
    <w:p>
      <w:pPr>
        <w:pStyle w:val="TextBody"/>
        <w:bidi w:val="0"/>
        <w:spacing w:lineRule="auto" w:line="288" w:before="0" w:after="0"/>
        <w:jc w:val="left"/>
        <w:rPr/>
      </w:pP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Our Residential segment's selling, general and administrative expenses decreased by $8.0 million, or 12.6%, during the three months ended June 30, 2026, compared to the three months ended June 30, 2025. The decrease was primarily driven by a reduction in headcount and lower incentive compensation costs associated with lower profitability. Selling, general and administrative expenses as a percentage of revenue in the Residential segment decreased to 17.2% during the three months ended June 30, 2026, compared to 18.5% in the three months ended June 30, 2025. The decrease as a percenta</w:t>
      </w:r>
      <w:r>
        <w:rPr>
          <w:rFonts w:ascii="Times New Roman;serif" w:hAnsi="Times New Roman;serif"/>
          <w:b w:val="false"/>
          <w:color w:val="000000"/>
          <w:sz w:val="20"/>
          <w:shd w:fill="FFFFFF" w:val="clear"/>
        </w:rPr>
        <w:t>ge of revenue was primarily attributable to selling, general and administrative expenses declining at a faster rate than revenues, reflecting the reductions in incentive compensation and headcount described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9484"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211"/>
        <w:gridCol w:w="826"/>
        <w:gridCol w:w="109"/>
        <w:gridCol w:w="109"/>
        <w:gridCol w:w="109"/>
        <w:gridCol w:w="109"/>
        <w:gridCol w:w="308"/>
        <w:gridCol w:w="308"/>
        <w:gridCol w:w="109"/>
        <w:gridCol w:w="109"/>
        <w:gridCol w:w="109"/>
        <w:gridCol w:w="109"/>
        <w:gridCol w:w="109"/>
        <w:gridCol w:w="109"/>
        <w:gridCol w:w="109"/>
        <w:gridCol w:w="211"/>
        <w:gridCol w:w="826"/>
        <w:gridCol w:w="109"/>
        <w:gridCol w:w="109"/>
        <w:gridCol w:w="109"/>
        <w:gridCol w:w="109"/>
        <w:gridCol w:w="308"/>
        <w:gridCol w:w="30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Our Residential segment’s revenues decreased by $88.2 million, or 9.0%, during the nine months ended June 30, 2026, compared to the nine months ended June 30, 2025. Our single-family electrical revenues decreased by $78.5 million compared to the prior year period. Consumer demand in the single-family housing market was impacted by housing affordability challenges, availability and cost of insurance, and overall economic uncertainty, leading to a decline in construction volumes and pressure on pricing during the period. Our multi-family revenues also decreased by $40.2 million, reflecting a decline in backlog during fiscal 2025 resulting from the impact of elevated interest rates on demand. Our single-family plumbing and HVAC revenue increased by $30.5 million compa</w:t>
      </w:r>
      <w:r>
        <w:rPr>
          <w:rFonts w:ascii="Times New Roman;serif" w:hAnsi="Times New Roman;serif"/>
          <w:b w:val="false"/>
          <w:color w:val="000000"/>
          <w:sz w:val="20"/>
          <w:shd w:fill="FFFFFF" w:val="clear"/>
        </w:rPr>
        <w:t>red to the prior year period as the general decrease in demand for single-family housing was more than offset by continued expansion of our plumbing and HVAC business into new markets, as well as improved market conditions for these services in certain markets.</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i/>
          <w:color w:val="000000"/>
          <w:sz w:val="20"/>
        </w:rPr>
        <w:t>Gross Profit.</w:t>
      </w:r>
      <w:r>
        <w:rPr>
          <w:color w:val="000000"/>
        </w:rPr>
        <w:t xml:space="preserve"> </w:t>
      </w:r>
      <w:r>
        <w:rPr>
          <w:rFonts w:ascii="Times New Roman;serif" w:hAnsi="Times New Roman;serif"/>
          <w:b w:val="false"/>
          <w:color w:val="000000"/>
          <w:sz w:val="20"/>
        </w:rPr>
        <w:t xml:space="preserve">During the nine months ended June 30, 2026, our Residential segment’s gross profit decreased by $59.3 million, or 23.2%, compared to the nine months ended June 30, 2025. </w:t>
      </w:r>
      <w:r>
        <w:rPr>
          <w:rFonts w:ascii="Times New Roman;serif" w:hAnsi="Times New Roman;serif"/>
          <w:b w:val="false"/>
          <w:color w:val="000000"/>
          <w:sz w:val="20"/>
          <w:shd w:fill="FFFFFF" w:val="clear"/>
        </w:rPr>
        <w:t xml:space="preserve">Gross profit as a percentage of revenue was </w:t>
      </w:r>
      <w:r>
        <w:rPr>
          <w:rFonts w:ascii="Times New Roman;serif" w:hAnsi="Times New Roman;serif"/>
          <w:b w:val="false"/>
          <w:color w:val="000000"/>
          <w:sz w:val="20"/>
        </w:rPr>
        <w:t>22.0%</w:t>
      </w:r>
      <w:r>
        <w:rPr>
          <w:color w:val="000000"/>
          <w:shd w:fill="FFFFFF" w:val="clear"/>
        </w:rPr>
        <w:t xml:space="preserve"> </w:t>
      </w:r>
      <w:r>
        <w:rPr>
          <w:rFonts w:ascii="Times New Roman;serif" w:hAnsi="Times New Roman;serif"/>
          <w:b w:val="false"/>
          <w:color w:val="000000"/>
          <w:sz w:val="20"/>
          <w:shd w:fill="FFFFFF" w:val="clear"/>
        </w:rPr>
        <w:t>during the nine months ended June 30, 2026, compared to 26.0% during the nine months end</w:t>
      </w:r>
      <w:r>
        <w:rPr>
          <w:rFonts w:ascii="Times New Roman;serif" w:hAnsi="Times New Roman;serif"/>
          <w:b w:val="false"/>
          <w:color w:val="000000"/>
          <w:sz w:val="20"/>
        </w:rPr>
        <w:t>ed June 30, 2025. The decrease in gross profit and gross profit as a percentage of revenue reflects the decline in volume as discussed above and reduced pricing to our customers.</w:t>
      </w:r>
    </w:p>
    <w:p>
      <w:pPr>
        <w:pStyle w:val="TextBody"/>
        <w:bidi w:val="0"/>
        <w:spacing w:lineRule="auto" w:line="288" w:before="0" w:after="180"/>
        <w:jc w:val="left"/>
        <w:rPr/>
      </w:pP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 xml:space="preserve">Our Residential segment’s selling, general and administrative expenses decreased by $11.0 million, or 6.3%, during the nine months ended June 30, 2026, compared to the nine months ended June 30, 2025. The decrease was primarily driven by a reduction in headcount and lower incentive compensation expense in connection with lower profitability, partly offset by investments to support the future scalability of our business. Selling, general and administrative expenses as a percentage of revenue increased to 18.5% </w:t>
      </w:r>
      <w:r>
        <w:rPr>
          <w:rFonts w:ascii="Times New Roman;serif" w:hAnsi="Times New Roman;serif"/>
          <w:b w:val="false"/>
          <w:color w:val="000000"/>
          <w:sz w:val="20"/>
          <w:shd w:fill="FFFFFF" w:val="clear"/>
        </w:rPr>
        <w:t xml:space="preserve">during the nine months ended June 30, 2026, compared to 17.9% during the nine months ended June 30, 2025. The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as a percentage of revenue was primarily driven by the decrease in revenues as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Infrastructure Solutions</w:t>
      </w:r>
    </w:p>
    <w:tbl>
      <w:tblPr>
        <w:tblW w:w="9273"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413"/>
        <w:gridCol w:w="413"/>
        <w:gridCol w:w="109"/>
        <w:gridCol w:w="109"/>
        <w:gridCol w:w="109"/>
        <w:gridCol w:w="109"/>
        <w:gridCol w:w="308"/>
        <w:gridCol w:w="308"/>
        <w:gridCol w:w="109"/>
        <w:gridCol w:w="109"/>
        <w:gridCol w:w="109"/>
        <w:gridCol w:w="109"/>
        <w:gridCol w:w="109"/>
        <w:gridCol w:w="109"/>
        <w:gridCol w:w="109"/>
        <w:gridCol w:w="211"/>
        <w:gridCol w:w="826"/>
        <w:gridCol w:w="109"/>
        <w:gridCol w:w="109"/>
        <w:gridCol w:w="109"/>
        <w:gridCol w:w="109"/>
        <w:gridCol w:w="308"/>
        <w:gridCol w:w="30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8"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6"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Revenues in our Infrastructure Solutions segment increased by $94.6 million during the three months ended June 30, 2026, an increase of 73.1% compared to the three months ended June 30, 2025, driven primarily by continued strong demand in our custom engineered solutions manufacturing businesses, primarily in the data center end market, and our ability to meet that demand through expanded capacity. We also continued to grow our field services offerings.</w:t>
      </w:r>
      <w:r>
        <w:rPr>
          <w:color w:val="000000"/>
        </w:rPr>
        <w:t xml:space="preserve"> </w:t>
      </w:r>
      <w:r>
        <w:rPr>
          <w:rFonts w:ascii="Times New Roman;serif" w:hAnsi="Times New Roman;serif"/>
          <w:b w:val="false"/>
          <w:color w:val="000000"/>
          <w:sz w:val="20"/>
        </w:rPr>
        <w:t>Gulf Island Fabrication, Inc. (“Gulf Island”), which was acquired on January 16, 2026, contributed $51.7 million in revenues in the three months ended June 30, 2026.</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Our Infrastructure Solutions segment’s gross profit during the three months ended June 30, 2026 increased $30.0 million, or 64.9%, compared to th</w:t>
      </w:r>
      <w:r>
        <w:rPr>
          <w:rFonts w:ascii="Times New Roman;serif" w:hAnsi="Times New Roman;serif"/>
          <w:b w:val="false"/>
          <w:color w:val="000000"/>
          <w:sz w:val="20"/>
          <w:shd w:fill="FFFFFF" w:val="clear"/>
        </w:rPr>
        <w:t xml:space="preserve">e three months ended June 30, 2025, driven by increased revenue as discussed above, while gross profit as a percentage of revenue decreased from 35.6% to 34.0%, primarily reflecting lower gross margins at the recently acquired Gulf Island business as we reposition its operations to better utilize available manufacturing capacity. </w:t>
      </w:r>
    </w:p>
    <w:p>
      <w:pPr>
        <w:pStyle w:val="TextBody"/>
        <w:bidi w:val="0"/>
        <w:spacing w:lineRule="auto" w:line="288" w:before="0" w:after="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Our Infr</w:t>
      </w:r>
      <w:r>
        <w:rPr>
          <w:rFonts w:ascii="Times New Roman;serif" w:hAnsi="Times New Roman;serif"/>
          <w:b w:val="false"/>
          <w:color w:val="000000"/>
          <w:sz w:val="20"/>
          <w:shd w:fill="FFFFFF" w:val="clear"/>
        </w:rPr>
        <w:t>astructure Solutions segment’s selling, general and administrative expenses during the three months ended June 30, 2026 increased by $9.5 million, or 72.4%, compared to the three months ended June 30, 2025, primarily as a result of increased employee compensation cost to support growth in the business, higher incentive compensation as a result of higher earnings, and $6.5 million of expense, including amortization of acquired intangible assets, incurred at Gulf Island. Selling, general and administrative expenses as a percentage of revenue remained consistent at 10.1% for the three months ended June 30, 2025 and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tbl>
      <w:tblPr>
        <w:tblW w:w="9716"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109"/>
        <w:gridCol w:w="109"/>
        <w:gridCol w:w="109"/>
        <w:gridCol w:w="413"/>
        <w:gridCol w:w="413"/>
        <w:gridCol w:w="109"/>
        <w:gridCol w:w="109"/>
        <w:gridCol w:w="109"/>
        <w:gridCol w:w="109"/>
        <w:gridCol w:w="308"/>
        <w:gridCol w:w="308"/>
        <w:gridCol w:w="109"/>
        <w:gridCol w:w="109"/>
        <w:gridCol w:w="109"/>
        <w:gridCol w:w="109"/>
        <w:gridCol w:w="109"/>
        <w:gridCol w:w="109"/>
        <w:gridCol w:w="109"/>
        <w:gridCol w:w="109"/>
        <w:gridCol w:w="109"/>
        <w:gridCol w:w="109"/>
        <w:gridCol w:w="413"/>
        <w:gridCol w:w="413"/>
        <w:gridCol w:w="109"/>
        <w:gridCol w:w="109"/>
        <w:gridCol w:w="109"/>
        <w:gridCol w:w="109"/>
        <w:gridCol w:w="308"/>
        <w:gridCol w:w="30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Revenues in our Inf</w:t>
      </w:r>
      <w:r>
        <w:rPr>
          <w:rFonts w:ascii="Times New Roman;serif" w:hAnsi="Times New Roman;serif"/>
          <w:b w:val="false"/>
          <w:color w:val="000000"/>
          <w:sz w:val="20"/>
          <w:shd w:fill="FFFFFF" w:val="clear"/>
        </w:rPr>
        <w:t>rastructure</w:t>
      </w:r>
      <w:r>
        <w:rPr>
          <w:color w:val="000000"/>
        </w:rPr>
        <w:t xml:space="preserve"> </w:t>
      </w:r>
      <w:r>
        <w:rPr>
          <w:rFonts w:ascii="Times New Roman;serif" w:hAnsi="Times New Roman;serif"/>
          <w:b w:val="false"/>
          <w:color w:val="000000"/>
          <w:sz w:val="20"/>
        </w:rPr>
        <w:t>Solutions segment increased by $201.5 million, or 56.7%, during the nine months ended June 30, 2026 compared to the nine months ended June 30, 2025. The increase in revenue was drive</w:t>
      </w:r>
      <w:r>
        <w:rPr>
          <w:rFonts w:ascii="Times New Roman;serif" w:hAnsi="Times New Roman;serif"/>
          <w:b w:val="false"/>
          <w:color w:val="000000"/>
          <w:sz w:val="20"/>
          <w:shd w:fill="FFFFFF" w:val="clear"/>
        </w:rPr>
        <w:t xml:space="preserve">n primarily by continued strong demand in our custom engineered solutions manufacturing businesses, primarily in the data center end market, and our ability to meet that demand through expanded capacity. We also continued to grow our field services offerings. Gulf Island contributed </w:t>
      </w:r>
      <w:r>
        <w:rPr>
          <w:rFonts w:ascii="Times New Roman;serif" w:hAnsi="Times New Roman;serif"/>
          <w:b w:val="false"/>
          <w:color w:val="000000"/>
          <w:sz w:val="20"/>
        </w:rPr>
        <w:t xml:space="preserve">$89.2 million </w:t>
      </w:r>
      <w:r>
        <w:rPr>
          <w:rFonts w:ascii="Times New Roman;serif" w:hAnsi="Times New Roman;serif"/>
          <w:b w:val="false"/>
          <w:color w:val="000000"/>
          <w:sz w:val="20"/>
          <w:shd w:fill="FFFFFF" w:val="clear"/>
        </w:rPr>
        <w:t xml:space="preserve">of revenues during the </w:t>
      </w:r>
      <w:r>
        <w:rPr>
          <w:rFonts w:ascii="Times New Roman;serif" w:hAnsi="Times New Roman;serif"/>
          <w:b w:val="false"/>
          <w:color w:val="000000"/>
          <w:sz w:val="20"/>
        </w:rPr>
        <w:t>nine months</w:t>
      </w:r>
      <w:r>
        <w:rPr>
          <w:color w:val="000000"/>
          <w:shd w:fill="FFFFFF" w:val="clear"/>
        </w:rPr>
        <w:t xml:space="preserve">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p>
      <w:pPr>
        <w:pStyle w:val="TextBody"/>
        <w:bidi w:val="0"/>
        <w:spacing w:lineRule="auto" w:line="288" w:before="0" w:after="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Our Infrastructure Solutions segment’s gross profit during the nine months ended June 30, 2026 increased by $69.3 million, or 57.6%, c</w:t>
      </w:r>
      <w:r>
        <w:rPr>
          <w:rFonts w:ascii="Times New Roman;serif" w:hAnsi="Times New Roman;serif"/>
          <w:b w:val="false"/>
          <w:color w:val="000000"/>
          <w:sz w:val="20"/>
          <w:shd w:fill="FFFFFF" w:val="clear"/>
        </w:rPr>
        <w:t>ompared to the nine months ended June 30, 2025, and gross profit as a percentage of r</w:t>
      </w:r>
      <w:r>
        <w:rPr>
          <w:rFonts w:ascii="Times New Roman;serif" w:hAnsi="Times New Roman;serif"/>
          <w:b w:val="false"/>
          <w:color w:val="000000"/>
          <w:sz w:val="20"/>
        </w:rPr>
        <w:t>evenue increased to 34.1%</w:t>
      </w:r>
      <w:r>
        <w:rPr>
          <w:color w:val="000000"/>
          <w:shd w:fill="FFFFFF" w:val="clear"/>
        </w:rPr>
        <w:t xml:space="preserve"> </w:t>
      </w:r>
      <w:r>
        <w:rPr>
          <w:rFonts w:ascii="Times New Roman;serif" w:hAnsi="Times New Roman;serif"/>
          <w:b w:val="false"/>
          <w:color w:val="000000"/>
          <w:sz w:val="20"/>
          <w:shd w:fill="FFFFFF" w:val="clear"/>
        </w:rPr>
        <w:t>for the nine months ended June 30, 2026 compared to 33.9% for the nine months ended June 30, 2025. The improvement in gross profit and gross margin primarily reflects improved pricing and productivity improvements as our newer facilities ramped up production, partly offset by the lower gross margin at Gulf Island as we reposition its operations to better utilize available manufacturing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Our In</w:t>
      </w:r>
      <w:r>
        <w:rPr>
          <w:rFonts w:ascii="Times New Roman;serif" w:hAnsi="Times New Roman;serif"/>
          <w:b w:val="false"/>
          <w:color w:val="000000"/>
          <w:sz w:val="20"/>
          <w:shd w:fill="FFFFFF" w:val="clear"/>
        </w:rPr>
        <w:t>frastructure Solutions segment’s selling, general and administrative expenses during the nine months</w:t>
      </w:r>
      <w:r>
        <w:rPr>
          <w:color w:val="000000"/>
        </w:rPr>
        <w:t xml:space="preserve"> </w:t>
      </w:r>
      <w:r>
        <w:rPr>
          <w:rFonts w:ascii="Times New Roman;serif" w:hAnsi="Times New Roman;serif"/>
          <w:b w:val="false"/>
          <w:color w:val="000000"/>
          <w:sz w:val="20"/>
        </w:rPr>
        <w:t>ended June 30, 2026 increased by $21.7 million, or 58.9%, compare</w:t>
      </w:r>
      <w:r>
        <w:rPr>
          <w:rFonts w:ascii="Times New Roman;serif" w:hAnsi="Times New Roman;serif"/>
          <w:b w:val="false"/>
          <w:color w:val="000000"/>
          <w:sz w:val="20"/>
          <w:shd w:fill="FFFFFF" w:val="clear"/>
        </w:rPr>
        <w:t xml:space="preserve">d to the nine months ended June 30, 2025, as a result of the growth of the business, as well as </w:t>
      </w:r>
      <w:r>
        <w:rPr>
          <w:rFonts w:ascii="Times New Roman;serif" w:hAnsi="Times New Roman;serif"/>
          <w:b w:val="false"/>
          <w:color w:val="000000"/>
          <w:sz w:val="20"/>
        </w:rPr>
        <w:t>$11.9 million of expense, in</w:t>
      </w:r>
      <w:r>
        <w:rPr>
          <w:rFonts w:ascii="Times New Roman;serif" w:hAnsi="Times New Roman;serif"/>
          <w:b w:val="false"/>
          <w:color w:val="000000"/>
          <w:sz w:val="20"/>
          <w:shd w:fill="FFFFFF" w:val="clear"/>
        </w:rPr>
        <w:t xml:space="preserve">cluding amortization of acquired intangible assets, incurred at Gulf Island. Selling, general and administrative expenses as a percentage of revenue was 10.5% for the nine months ended June 30, 2026, compared with 10.4% for the </w:t>
      </w:r>
      <w:r>
        <w:rPr>
          <w:rFonts w:ascii="Times New Roman;serif" w:hAnsi="Times New Roman;serif"/>
          <w:b w:val="false"/>
          <w:color w:val="000000"/>
          <w:sz w:val="20"/>
        </w:rPr>
        <w:t>nine months ended June 30, 2025 as the increase</w:t>
      </w:r>
      <w:r>
        <w:rPr>
          <w:color w:val="000000"/>
          <w:shd w:fill="FFFFFF" w:val="clear"/>
        </w:rPr>
        <w:t xml:space="preserve"> </w:t>
      </w:r>
      <w:r>
        <w:rPr>
          <w:rFonts w:ascii="Times New Roman;serif" w:hAnsi="Times New Roman;serif"/>
          <w:b w:val="false"/>
          <w:color w:val="000000"/>
          <w:sz w:val="20"/>
          <w:shd w:fill="FFFFFF" w:val="clear"/>
        </w:rPr>
        <w:t>in selling, general and administrative expenses was generally consistent with the segment's revenue growth during the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Commercial &amp; Industrial</w:t>
      </w:r>
    </w:p>
    <w:tbl>
      <w:tblPr>
        <w:tblW w:w="9273"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413"/>
        <w:gridCol w:w="413"/>
        <w:gridCol w:w="109"/>
        <w:gridCol w:w="109"/>
        <w:gridCol w:w="109"/>
        <w:gridCol w:w="109"/>
        <w:gridCol w:w="308"/>
        <w:gridCol w:w="308"/>
        <w:gridCol w:w="109"/>
        <w:gridCol w:w="109"/>
        <w:gridCol w:w="109"/>
        <w:gridCol w:w="109"/>
        <w:gridCol w:w="109"/>
        <w:gridCol w:w="109"/>
        <w:gridCol w:w="109"/>
        <w:gridCol w:w="211"/>
        <w:gridCol w:w="826"/>
        <w:gridCol w:w="109"/>
        <w:gridCol w:w="109"/>
        <w:gridCol w:w="109"/>
        <w:gridCol w:w="109"/>
        <w:gridCol w:w="308"/>
        <w:gridCol w:w="30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8"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8" w:type="dxa"/>
            <w:gridSpan w:val="30"/>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lineRule="auto" w:line="276" w:before="0" w:after="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 xml:space="preserve">Revenues in our Commercial &amp; Industrial segment increased by $126.0 million, or 109.1%, during the three months ended June 30, 2026, compared to the three months ended June 30, 2025, driven by an expansion of our capabilities in the data center end market, allowing us to increase the size and number of projects we can execute. The increase also reflected the execution of certain large, short duration projects during the quarter. </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Our Commercial &amp; Industrial segment’s gross profit during the three months ended June 30, 2026 increased by $50.6 million, or 220.1%, compared to the three months ended June 30, 2025. Gross profit as a percentage of revenue increased from 19.9% for the three months ended June 30, 2025 to 30.5% for the three months ended June 30, 2026, as w</w:t>
      </w:r>
      <w:r>
        <w:rPr>
          <w:rFonts w:ascii="Times New Roman;serif" w:hAnsi="Times New Roman;serif"/>
          <w:b w:val="false"/>
          <w:color w:val="000000"/>
          <w:sz w:val="20"/>
          <w:shd w:fill="FFFFFF" w:val="clear"/>
        </w:rPr>
        <w:t>e benefited from strong execution on certain large data center projects, including certain large, short duration jobs that we executed at favorable margins.</w:t>
      </w:r>
    </w:p>
    <w:p>
      <w:pPr>
        <w:pStyle w:val="TextBody"/>
        <w:bidi w:val="0"/>
        <w:spacing w:lineRule="auto" w:line="288" w:before="0" w:after="0"/>
        <w:jc w:val="left"/>
        <w:rPr/>
      </w:pPr>
      <w:r>
        <w:rPr>
          <w:rFonts w:ascii="Times New Roman;serif" w:hAnsi="Times New Roman;serif"/>
          <w:b w:val="false"/>
          <w:i/>
          <w:color w:val="000000"/>
          <w:sz w:val="20"/>
        </w:rPr>
        <w:t>Selling, General a</w:t>
      </w:r>
      <w:r>
        <w:rPr>
          <w:rFonts w:ascii="Times New Roman;serif" w:hAnsi="Times New Roman;serif"/>
          <w:b w:val="false"/>
          <w:i/>
          <w:color w:val="000000"/>
          <w:sz w:val="20"/>
          <w:shd w:fill="FFFFFF" w:val="clear"/>
        </w:rPr>
        <w:t>nd Administrative Expenses</w:t>
      </w:r>
      <w:r>
        <w:rPr>
          <w:rFonts w:ascii="Times New Roman;serif" w:hAnsi="Times New Roman;serif"/>
          <w:b w:val="false"/>
          <w:color w:val="000000"/>
          <w:sz w:val="20"/>
          <w:shd w:fill="FFFFFF" w:val="clear"/>
        </w:rPr>
        <w:t xml:space="preserve">. Our Commercial &amp; Industrial segment’s selling, general and administrative expenses during the three months ended </w:t>
      </w:r>
      <w:r>
        <w:rPr>
          <w:rFonts w:ascii="Times New Roman;serif" w:hAnsi="Times New Roman;serif"/>
          <w:b w:val="false"/>
          <w:color w:val="000000"/>
          <w:sz w:val="20"/>
        </w:rPr>
        <w:t>June 30, 2026 increased by $9.3 million, or 92.8%, compared to the three mo</w:t>
      </w:r>
      <w:r>
        <w:rPr>
          <w:rFonts w:ascii="Times New Roman;serif" w:hAnsi="Times New Roman;serif"/>
          <w:b w:val="false"/>
          <w:color w:val="000000"/>
          <w:sz w:val="20"/>
          <w:shd w:fill="FFFFFF" w:val="clear"/>
        </w:rPr>
        <w:t>nths ended June 30, 2025</w:t>
      </w:r>
      <w:r>
        <w:rPr>
          <w:color w:val="000000"/>
        </w:rPr>
        <w:t xml:space="preserve"> </w:t>
      </w:r>
      <w:r>
        <w:rPr>
          <w:rFonts w:ascii="Times New Roman;serif" w:hAnsi="Times New Roman;serif"/>
          <w:b w:val="false"/>
          <w:color w:val="000000"/>
          <w:sz w:val="20"/>
          <w:shd w:fill="FFFFFF" w:val="clear"/>
        </w:rPr>
        <w:t>primarily as a result of increased employee compensation cost as we continue to invest in the growth of the business and higher inc</w:t>
      </w:r>
      <w:r>
        <w:rPr>
          <w:rFonts w:ascii="Times New Roman;serif" w:hAnsi="Times New Roman;serif"/>
          <w:b w:val="false"/>
          <w:color w:val="000000"/>
          <w:sz w:val="20"/>
        </w:rPr>
        <w:t>entive compensation as a result of successful project execution. Selling, general and administrative expenses as a percentage of revenue decreased from 8.7% for the three months ended June 30, 2025 to 8.0% for th</w:t>
      </w:r>
      <w:r>
        <w:rPr>
          <w:rFonts w:ascii="Times New Roman;serif" w:hAnsi="Times New Roman;serif"/>
          <w:b w:val="false"/>
          <w:color w:val="000000"/>
          <w:sz w:val="20"/>
          <w:shd w:fill="FFFFFF" w:val="clear"/>
        </w:rPr>
        <w:t xml:space="preserve">e three months ended June 30, 2026 as we benefited from the increased scale of our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tbl>
      <w:tblPr>
        <w:tblW w:w="9826"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114"/>
        <w:gridCol w:w="114"/>
        <w:gridCol w:w="114"/>
        <w:gridCol w:w="413"/>
        <w:gridCol w:w="413"/>
        <w:gridCol w:w="114"/>
        <w:gridCol w:w="114"/>
        <w:gridCol w:w="114"/>
        <w:gridCol w:w="114"/>
        <w:gridCol w:w="308"/>
        <w:gridCol w:w="308"/>
        <w:gridCol w:w="114"/>
        <w:gridCol w:w="114"/>
        <w:gridCol w:w="114"/>
        <w:gridCol w:w="114"/>
        <w:gridCol w:w="114"/>
        <w:gridCol w:w="114"/>
        <w:gridCol w:w="114"/>
        <w:gridCol w:w="114"/>
        <w:gridCol w:w="114"/>
        <w:gridCol w:w="114"/>
        <w:gridCol w:w="413"/>
        <w:gridCol w:w="413"/>
        <w:gridCol w:w="114"/>
        <w:gridCol w:w="114"/>
        <w:gridCol w:w="114"/>
        <w:gridCol w:w="114"/>
        <w:gridCol w:w="308"/>
        <w:gridCol w:w="308"/>
        <w:gridCol w:w="114"/>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15"/>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30"/>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129,918 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0" w:after="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 xml:space="preserve">Revenues in our Commercial &amp; Industrial segment increased by $133.5 million, or 40.5%, during the nine months ended June 30, 2026, compared to the nine months ended June 30, 2025 driven by an expansion of our capabilities in the data center end market, allowing us to increase the size and number of projects we can execute. We also benefited from the </w:t>
      </w:r>
      <w:r>
        <w:rPr>
          <w:rFonts w:ascii="Times New Roman;serif" w:hAnsi="Times New Roman;serif"/>
          <w:b w:val="false"/>
          <w:color w:val="000000"/>
          <w:sz w:val="20"/>
          <w:shd w:fill="FFFFFF" w:val="clear"/>
        </w:rPr>
        <w:t xml:space="preserve">expansion of one of our operations in the Midwest market, as well as </w:t>
      </w:r>
      <w:r>
        <w:rPr>
          <w:rFonts w:ascii="Times New Roman;serif" w:hAnsi="Times New Roman;serif"/>
          <w:b w:val="false"/>
          <w:color w:val="000000"/>
          <w:sz w:val="20"/>
        </w:rPr>
        <w:t>the execution of certain large, short duration projects.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xml:space="preserve">. Our Commercial &amp; Industrial segment’s gross profit during the nine months ended June 30, 2026 increased by $64.9 million, or 100.0%, compared to the nine months ended June 30, 2025. Gross profit as a percentage of revenue was 28.1% for the nine months ended June 30, 2026 compared with 19.7% for the nine months ended June 30, 2025 as </w:t>
      </w:r>
      <w:r>
        <w:rPr>
          <w:rFonts w:ascii="Times New Roman;serif" w:hAnsi="Times New Roman;serif"/>
          <w:b w:val="false"/>
          <w:color w:val="000000"/>
          <w:sz w:val="20"/>
          <w:shd w:fill="FFFFFF" w:val="clear"/>
        </w:rPr>
        <w:t xml:space="preserve">we benefited from strong execution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certain large data center projects. Results in the nine 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also benefited from certain large, short duration jobs that we executed at favorable margins. </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i/>
          <w:color w:val="000000"/>
          <w:sz w:val="20"/>
        </w:rPr>
        <w:t>Selling, General and Ad</w:t>
      </w:r>
      <w:r>
        <w:rPr>
          <w:rFonts w:ascii="Times New Roman;serif" w:hAnsi="Times New Roman;serif"/>
          <w:b w:val="false"/>
          <w:i/>
          <w:color w:val="000000"/>
          <w:sz w:val="20"/>
          <w:shd w:fill="FFFFFF" w:val="clear"/>
        </w:rPr>
        <w:t xml:space="preserve">ministrative Expenses. </w:t>
      </w:r>
      <w:r>
        <w:rPr>
          <w:rFonts w:ascii="Times New Roman;serif" w:hAnsi="Times New Roman;serif"/>
          <w:b w:val="false"/>
          <w:color w:val="000000"/>
          <w:sz w:val="20"/>
          <w:shd w:fill="FFFFFF" w:val="clear"/>
        </w:rPr>
        <w:t>Our Commercial &amp; Industrial segment’s selling, general and administrative expenses during the nine months</w:t>
      </w:r>
      <w:r>
        <w:rPr>
          <w:color w:val="000000"/>
        </w:rPr>
        <w:t xml:space="preserve"> </w:t>
      </w:r>
      <w:r>
        <w:rPr>
          <w:rFonts w:ascii="Times New Roman;serif" w:hAnsi="Times New Roman;serif"/>
          <w:b w:val="false"/>
          <w:color w:val="000000"/>
          <w:sz w:val="20"/>
        </w:rPr>
        <w:t>ended June 30, 2026 increased by $15.5 million, or 53.2%, compared to the nine months ended June 30, 2025 primarily as a result of increased employee compensation cost, including higher incentive compensation as a result of successful project execution, as we continue to invest in growth of the business. Selling, general and administrative expenses as a percentage of revenue increased to 9.7% fo</w:t>
      </w:r>
      <w:r>
        <w:rPr>
          <w:rFonts w:ascii="Times New Roman;serif" w:hAnsi="Times New Roman;serif"/>
          <w:b w:val="false"/>
          <w:color w:val="000000"/>
          <w:sz w:val="20"/>
          <w:shd w:fill="FFFFFF" w:val="clear"/>
        </w:rPr>
        <w:t>r the nine months ended June 30, 2026 compare</w:t>
      </w:r>
      <w:r>
        <w:rPr>
          <w:rFonts w:ascii="Times New Roman;serif" w:hAnsi="Times New Roman;serif"/>
          <w:b w:val="false"/>
          <w:color w:val="000000"/>
          <w:sz w:val="20"/>
        </w:rPr>
        <w:t>d with 8.9% for the nine months ended June 30, 2025 as</w:t>
      </w:r>
      <w:r>
        <w:rPr>
          <w:color w:val="000000"/>
          <w:shd w:fill="FFFFFF" w:val="clear"/>
        </w:rPr>
        <w:t xml:space="preserve"> </w:t>
      </w:r>
      <w:r>
        <w:rPr>
          <w:rFonts w:ascii="Times New Roman;serif" w:hAnsi="Times New Roman;serif"/>
          <w:b w:val="false"/>
          <w:color w:val="000000"/>
          <w:sz w:val="20"/>
          <w:shd w:fill="FFFFFF" w:val="clear"/>
        </w:rPr>
        <w:t xml:space="preserve">a result of the increased compensation expense discussed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AND OTHER INCOME (EXPENSE)</w:t>
      </w:r>
    </w:p>
    <w:tbl>
      <w:tblPr>
        <w:tblW w:w="7469" w:type="dxa"/>
        <w:jc w:val="center"/>
        <w:tblInd w:w="0" w:type="dxa"/>
        <w:tblLayout w:type="fixed"/>
        <w:tblCellMar>
          <w:top w:w="28" w:type="dxa"/>
          <w:left w:w="28" w:type="dxa"/>
          <w:bottom w:w="28" w:type="dxa"/>
          <w:right w:w="28" w:type="dxa"/>
        </w:tblCellMar>
      </w:tblPr>
      <w:tblGrid>
        <w:gridCol w:w="1386"/>
        <w:gridCol w:w="1214"/>
        <w:gridCol w:w="1225"/>
        <w:gridCol w:w="109"/>
        <w:gridCol w:w="109"/>
        <w:gridCol w:w="109"/>
        <w:gridCol w:w="167"/>
        <w:gridCol w:w="167"/>
        <w:gridCol w:w="167"/>
        <w:gridCol w:w="358"/>
        <w:gridCol w:w="363"/>
        <w:gridCol w:w="167"/>
        <w:gridCol w:w="167"/>
        <w:gridCol w:w="167"/>
        <w:gridCol w:w="167"/>
        <w:gridCol w:w="167"/>
        <w:gridCol w:w="167"/>
        <w:gridCol w:w="167"/>
        <w:gridCol w:w="343"/>
        <w:gridCol w:w="347"/>
        <w:gridCol w:w="236"/>
      </w:tblGrid>
      <w:tr>
        <w:trPr/>
        <w:tc>
          <w:tcPr>
            <w:tcW w:w="138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26,292 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During the three </w:t>
      </w:r>
      <w:r>
        <w:rPr>
          <w:rFonts w:ascii="Times New Roman;serif" w:hAnsi="Times New Roman;serif"/>
          <w:b w:val="false"/>
          <w:color w:val="000000"/>
          <w:sz w:val="20"/>
          <w:shd w:fill="FFFFFF" w:val="clear"/>
        </w:rPr>
        <w:t>months ended June 30, 2026, we incurred interest expense of $1.0 million primarily comprised of interest on our revolving credit facility, which had an average outstanding balance of $45.6 million, interest on our finance lease agreements and fees on an average letter of credit balance of $11.8 million under our revolving credit facility and an average unused line of credit balance of $242.6 million. This compares to interest expense of $0.5 million for the three months ended June 30, 2025, primarily comprised of interest on our finance lease agreements and fees on an average letter of credit balance of $5.5 million under our revolving credit facility and an average unused line of credit balance of $292.2 million.</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recorded a net gain on marketable securities of $26.2 million for the three months ended June 30, 2026 compared to a net loss of $3.3 million for the three months ended June 30, 2025 reflecting both realized gains or losses and changes in the market value of our 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587" w:type="dxa"/>
        <w:jc w:val="left"/>
        <w:tblInd w:w="0" w:type="dxa"/>
        <w:tblLayout w:type="fixed"/>
        <w:tblCellMar>
          <w:top w:w="28" w:type="dxa"/>
          <w:left w:w="28" w:type="dxa"/>
          <w:bottom w:w="28" w:type="dxa"/>
          <w:right w:w="28" w:type="dxa"/>
        </w:tblCellMar>
      </w:tblPr>
      <w:tblGrid>
        <w:gridCol w:w="1087"/>
        <w:gridCol w:w="952"/>
        <w:gridCol w:w="961"/>
        <w:gridCol w:w="109"/>
        <w:gridCol w:w="109"/>
        <w:gridCol w:w="109"/>
        <w:gridCol w:w="162"/>
        <w:gridCol w:w="162"/>
        <w:gridCol w:w="162"/>
        <w:gridCol w:w="359"/>
        <w:gridCol w:w="362"/>
        <w:gridCol w:w="162"/>
        <w:gridCol w:w="162"/>
        <w:gridCol w:w="162"/>
        <w:gridCol w:w="162"/>
        <w:gridCol w:w="162"/>
        <w:gridCol w:w="162"/>
        <w:gridCol w:w="162"/>
        <w:gridCol w:w="343"/>
        <w:gridCol w:w="347"/>
        <w:gridCol w:w="229"/>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interest and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80,883 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5,881 </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left"/>
        <w:rPr/>
      </w:pPr>
      <w:r>
        <w:rPr>
          <w:rFonts w:ascii="Times New Roman;serif" w:hAnsi="Times New Roman;serif"/>
          <w:b w:val="false"/>
          <w:color w:val="000000"/>
          <w:sz w:val="20"/>
        </w:rPr>
        <w:t>During the nine months ended June 30, 2026, w</w:t>
      </w:r>
      <w:r>
        <w:rPr>
          <w:rFonts w:ascii="Times New Roman;serif" w:hAnsi="Times New Roman;serif"/>
          <w:b w:val="false"/>
          <w:color w:val="000000"/>
          <w:sz w:val="20"/>
          <w:shd w:fill="FFFFFF" w:val="clear"/>
        </w:rPr>
        <w:t xml:space="preserve">e incurred interest expense </w:t>
      </w:r>
      <w:r>
        <w:rPr>
          <w:rFonts w:ascii="Times New Roman;serif" w:hAnsi="Times New Roman;serif"/>
          <w:b w:val="false"/>
          <w:color w:val="000000"/>
          <w:sz w:val="20"/>
        </w:rPr>
        <w:t>of $3.0 million primarily comprised of interest on our revolving credit facility, which had an average outstanding balance of $42.9 million, interest on our finance lease agreements and fees on an average letter of credit balance of $10.7 million under our revolving credit facility and an average unused line of credit balance of $246.3 million. Thi</w:t>
      </w:r>
      <w:r>
        <w:rPr>
          <w:rFonts w:ascii="Times New Roman;serif" w:hAnsi="Times New Roman;serif"/>
          <w:b w:val="false"/>
          <w:color w:val="000000"/>
          <w:sz w:val="20"/>
          <w:shd w:fill="FFFFFF" w:val="clear"/>
        </w:rPr>
        <w:t>s compares to interest expense of $1.3 million for the nine months ended June 30, 2025, primarily comprised of interest on our finance lease agreements and fees on an average letter of credit balance of $5.5 million under our revolving credit facility and an average unused line of credit balance of $233.3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rPr>
        <w:t>We record</w:t>
      </w:r>
      <w:r>
        <w:rPr>
          <w:rFonts w:ascii="Times New Roman;serif" w:hAnsi="Times New Roman;serif"/>
          <w:b w:val="false"/>
          <w:color w:val="000000"/>
          <w:sz w:val="20"/>
          <w:shd w:fill="FFFFFF" w:val="clear"/>
        </w:rPr>
        <w:t>ed a net gain on m</w:t>
      </w:r>
      <w:r>
        <w:rPr>
          <w:rFonts w:ascii="Times New Roman;serif" w:hAnsi="Times New Roman;serif"/>
          <w:b w:val="false"/>
          <w:color w:val="000000"/>
          <w:sz w:val="20"/>
        </w:rPr>
        <w:t>arke</w:t>
      </w:r>
      <w:r>
        <w:rPr>
          <w:rFonts w:ascii="Times New Roman;serif" w:hAnsi="Times New Roman;serif"/>
          <w:b w:val="false"/>
          <w:color w:val="000000"/>
          <w:sz w:val="20"/>
          <w:shd w:fill="FFFFFF" w:val="clear"/>
        </w:rPr>
        <w:t>table securities of $80.4 million fo</w:t>
      </w:r>
      <w:r>
        <w:rPr>
          <w:rFonts w:ascii="Times New Roman;serif" w:hAnsi="Times New Roman;serif"/>
          <w:b w:val="false"/>
          <w:color w:val="000000"/>
          <w:sz w:val="20"/>
        </w:rPr>
        <w:t xml:space="preserve">r the nine months ended June 30, 2026 compared to $4.6 million for the nine months ended June 30, 2025 </w:t>
      </w:r>
      <w:r>
        <w:rPr>
          <w:rFonts w:ascii="Times New Roman;serif" w:hAnsi="Times New Roman;serif"/>
          <w:b w:val="false"/>
          <w:color w:val="000000"/>
          <w:sz w:val="20"/>
          <w:shd w:fill="FFFFFF" w:val="clear"/>
        </w:rPr>
        <w:t>reflecting both realized gains and an increase in the market value of our 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PROVISION FOR INCOME TAXES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recorded income tax expense of $51.3 million for the three months ended June 30, 2026, compared to $29.5 million for the three months ended June 30, 2025, driven primarily by increased pretax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recorded income tax expense of $118.0 million for the nine months ended June 30, 2026, compared to $75.5 million for the nine months ended June 30, 2025, driven primarily by increased pretax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Management’s discussion and analysis of financial condition and results of operations is based on our Condensed Consolidated Financial Statements included in this Quarterly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 For a discussion of our significant accounting policies, please see our Annual Report on Form 10-K for the fiscal year ended September 30, 2025. Some of the more significant estimates include revenue recognition a</w:t>
      </w:r>
      <w:r>
        <w:rPr>
          <w:rFonts w:ascii="Times New Roman;serif" w:hAnsi="Times New Roman;serif"/>
          <w:b w:val="false"/>
          <w:color w:val="000000"/>
          <w:sz w:val="20"/>
          <w:shd w:fill="FFFFFF" w:val="clear"/>
        </w:rPr>
        <w:t xml:space="preserve">nd business combinations.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There have been no significant changes to </w:t>
      </w:r>
      <w:r>
        <w:rPr>
          <w:rFonts w:ascii="Times New Roman;serif" w:hAnsi="Times New Roman;serif"/>
          <w:b w:val="false"/>
          <w:color w:val="000000"/>
          <w:sz w:val="20"/>
        </w:rPr>
        <w:t>our accounting policies as disclosed in our Annual Report on Form 10-K for the fiscal year ended September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REMAINING PERFORMANCE OBLIGATIONS AND BACKLOG</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unrecognized revenue value of our contractual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plumbing and HVAC installation services for single-family housing at our Residential segment are completed on a short-term basis and are therefore excluded from backlog. In our Communications segment, we have a significant amount of shorter duration projects that can be substantially completed within a quarter. The table below summarizes our remaining performance obligations and backlog (in thousands):</w:t>
      </w:r>
    </w:p>
    <w:tbl>
      <w:tblPr>
        <w:tblW w:w="12304" w:type="dxa"/>
        <w:jc w:val="left"/>
        <w:tblInd w:w="0" w:type="dxa"/>
        <w:tblLayout w:type="fixed"/>
        <w:tblCellMar>
          <w:top w:w="28" w:type="dxa"/>
          <w:left w:w="28" w:type="dxa"/>
          <w:bottom w:w="28" w:type="dxa"/>
          <w:right w:w="28" w:type="dxa"/>
        </w:tblCellMar>
      </w:tblPr>
      <w:tblGrid>
        <w:gridCol w:w="468"/>
        <w:gridCol w:w="411"/>
        <w:gridCol w:w="412"/>
        <w:gridCol w:w="196"/>
        <w:gridCol w:w="871"/>
        <w:gridCol w:w="109"/>
        <w:gridCol w:w="196"/>
        <w:gridCol w:w="871"/>
        <w:gridCol w:w="109"/>
        <w:gridCol w:w="196"/>
        <w:gridCol w:w="871"/>
        <w:gridCol w:w="109"/>
        <w:gridCol w:w="109"/>
        <w:gridCol w:w="109"/>
        <w:gridCol w:w="109"/>
        <w:gridCol w:w="196"/>
        <w:gridCol w:w="871"/>
        <w:gridCol w:w="109"/>
        <w:gridCol w:w="196"/>
        <w:gridCol w:w="736"/>
        <w:gridCol w:w="109"/>
        <w:gridCol w:w="196"/>
        <w:gridCol w:w="871"/>
        <w:gridCol w:w="109"/>
        <w:gridCol w:w="109"/>
        <w:gridCol w:w="109"/>
        <w:gridCol w:w="109"/>
        <w:gridCol w:w="196"/>
        <w:gridCol w:w="871"/>
        <w:gridCol w:w="109"/>
        <w:gridCol w:w="196"/>
        <w:gridCol w:w="736"/>
        <w:gridCol w:w="109"/>
        <w:gridCol w:w="196"/>
        <w:gridCol w:w="871"/>
        <w:gridCol w:w="154"/>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 2025</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Remaining Performance Obligations</w:t>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Agreements without an enforceable obligation </w:t>
            </w:r>
            <w:r>
              <w:rPr>
                <w:rFonts w:ascii="Times New Roman;serif" w:hAnsi="Times New Roman;serif"/>
                <w:b w:val="false"/>
                <w:color w:val="000000"/>
                <w:sz w:val="11"/>
              </w:rPr>
              <w:t>(1)</w:t>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Remaining Performance Obligations</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Agreements without an enforceable obligation </w:t>
            </w:r>
            <w:r>
              <w:rPr>
                <w:rFonts w:ascii="Times New Roman;serif" w:hAnsi="Times New Roman;serif"/>
                <w:b w:val="false"/>
                <w:color w:val="000000"/>
                <w:sz w:val="11"/>
              </w:rPr>
              <w:t>(1)</w:t>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Remaining Performance Obligations</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Agreements without an enforceable obligation </w:t>
            </w:r>
            <w:r>
              <w:rPr>
                <w:rFonts w:ascii="Times New Roman;serif" w:hAnsi="Times New Roman;serif"/>
                <w:b w:val="false"/>
                <w:color w:val="000000"/>
                <w:sz w:val="11"/>
              </w:rPr>
              <w:t>(1)</w:t>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Backlog</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millions)</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Infrastructure Solutions </w:t>
            </w:r>
            <w:r>
              <w:rPr>
                <w:rFonts w:ascii="Times New Roman;serif" w:hAnsi="Times New Roman;serif"/>
                <w:b w:val="false"/>
                <w:color w:val="000000"/>
                <w:sz w:val="11"/>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&amp; Industrial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2,801,635 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1,723,467 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4,525,102 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1,686,583 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687,207 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2,373,790 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1,295,207 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771,593 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2,066,800 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Our backlog contains signed agreements and letters of intent, which we do not have a legal right to enforce prior to work starting. These arrangements are excluded from remaining performance obligations until work begins.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In January 2026, Infrastructure Solutions acquired $29.1 million of remaining performance obligations and backlog in connection with the acquisition of Gulf Island.</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WORKING CAPITAL</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June 30, 2026, working capital exclusive of cash, cash equivalents and restricted cash increased by $190.7 million from September 30, 2025, reflecting a $499.0 million increase in current assets excluding cash and restricted cash and a $308.3 million increase in current liabilities during the period.</w:t>
      </w:r>
    </w:p>
    <w:p>
      <w:pPr>
        <w:pStyle w:val="TextBody"/>
        <w:bidi w:val="0"/>
        <w:spacing w:lineRule="auto" w:line="288" w:before="0" w:after="180"/>
        <w:jc w:val="left"/>
        <w:rPr/>
      </w:pPr>
      <w:r>
        <w:rPr>
          <w:rFonts w:ascii="Times New Roman;serif" w:hAnsi="Times New Roman;serif"/>
          <w:b w:val="false"/>
          <w:color w:val="000000"/>
          <w:sz w:val="20"/>
        </w:rPr>
        <w:t>During the nine months ended June 30, 2026, our current assets exclusive of cash, cash equivalents and restricted cash increased to $1,457.3 million, as compared to $958.3 million as of September 30, 2025. The increase was primarily driven by a $209.5 million increase in accounts receivable including retainage associated with an increase in activity, and a $206.0 million increase in marketable securities. I</w:t>
      </w:r>
      <w:r>
        <w:rPr>
          <w:rFonts w:ascii="Times New Roman;serif" w:hAnsi="Times New Roman;serif"/>
          <w:b w:val="false"/>
          <w:color w:val="000000"/>
          <w:sz w:val="20"/>
          <w:shd w:fill="FFFFFF" w:val="clear"/>
        </w:rPr>
        <w:t xml:space="preserve">n addition, costs and estimated earnings in excess of billings increased by $51.2 million, driven by increased activity and the timing of contract billings.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June 30, 2026, our total current liabilities increased by $308.3 million to $941.7 million, compared to $633.4 million as of September 30, 2025, primarily driven by a $180.8 million increase in billings in excess of costs and estimated earnings associated with increased activity and the timing of contract billings. In addition, accounts payable increased by $127.5 million as a result of increased activity. After utilizing our credit facility during the second quarter of fiscal 2026 to fund a portion of the purchase price of Gulf Island and make significant investments in capital expenditures, we have repaid those borrowings, resulting in no outstanding debt as of June 30, 2026.</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Surety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the bonding capacity provided by our sureties is adequate for our current operations and will be adequate for our operations for the foreseeable future. As of June 30, 2026, the estimated cost to complete our bonded projects was approximately $400.9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Revolving Credit Facility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a party to the Fourth Amended and Restated Credit Agreement (the “Amended Credit Agreement”), which provides for a revolving line of credit of $300 million, maturing on January 21, 2030. </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rPr>
        <w:t xml:space="preserve">Under the Amended Credit Agreement, the Company is subject to certain financial covenants including a maximum Consolidated Total Leverage Ratio (as defined in the Amended Credit Agreement) of 3.00 to 1.00 and a minimum Consolidated Interest Coverage Ratio (as defined in the Amended Credit Agreement) of 3.00 to 1.00. </w:t>
      </w:r>
      <w:r>
        <w:rPr>
          <w:rFonts w:ascii="Times New Roman;serif" w:hAnsi="Times New Roman;serif"/>
          <w:b w:val="false"/>
          <w:color w:val="000000"/>
          <w:sz w:val="20"/>
          <w:shd w:fill="FFFFFF" w:val="clear"/>
        </w:rPr>
        <w:t>As of June 30, 2026, the Company was in compliance with the financial covenants under the Amended Credit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Amounts outstanding bear interest at a rate equal to either (1) the Base Rate (which is the greater of the Federal Funds Rate (as defined in the Amended Credit Agreement) and the Prime Rate (as defined in the Amended Credit Agreement)), (2) the Daily Simple SOFR (as defined in the Amended Credit Agreement) or (3) Term SOFR (as defined in the Amended Credit Agreement), plus, in each case, an interest rate margin, which is determined quarterly based on our Consolidated Total Leverage Ratio, in accordance with the following thresholds:</w:t>
      </w:r>
    </w:p>
    <w:tbl>
      <w:tblPr>
        <w:tblW w:w="10205" w:type="dxa"/>
        <w:jc w:val="center"/>
        <w:tblInd w:w="0" w:type="dxa"/>
        <w:tblLayout w:type="fixed"/>
        <w:tblCellMar>
          <w:top w:w="28" w:type="dxa"/>
          <w:left w:w="28" w:type="dxa"/>
          <w:bottom w:w="28" w:type="dxa"/>
          <w:right w:w="28" w:type="dxa"/>
        </w:tblCellMar>
      </w:tblPr>
      <w:tblGrid>
        <w:gridCol w:w="344"/>
        <w:gridCol w:w="303"/>
        <w:gridCol w:w="305"/>
        <w:gridCol w:w="109"/>
        <w:gridCol w:w="109"/>
        <w:gridCol w:w="109"/>
        <w:gridCol w:w="1040"/>
        <w:gridCol w:w="1040"/>
        <w:gridCol w:w="1042"/>
        <w:gridCol w:w="109"/>
        <w:gridCol w:w="109"/>
        <w:gridCol w:w="109"/>
        <w:gridCol w:w="1004"/>
        <w:gridCol w:w="988"/>
        <w:gridCol w:w="991"/>
        <w:gridCol w:w="109"/>
        <w:gridCol w:w="109"/>
        <w:gridCol w:w="109"/>
        <w:gridCol w:w="643"/>
        <w:gridCol w:w="627"/>
        <w:gridCol w:w="897"/>
      </w:tblGrid>
      <w:tr>
        <w:trPr/>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Pricing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 Total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Margin applicable to Daily Simple SOFR/Term 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Margin applicable to Base Rate</w:t>
            </w:r>
          </w:p>
        </w:tc>
      </w:tr>
      <w:tr>
        <w:trPr/>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2.50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1.25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or equal to 1.75 to 1.00, but less than 2.50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1.00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1.00 to 1.00, but less than 1.75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0.75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1.00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0.50 percentage points</w:t>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we are charged monthly in arrears an unused commitment fee of 0.25% to 0.35% per annum on any unused portion of the revolving credit facility based on the Company's Consolidated Total Leverage Ratio.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Credit Agreement restricts certain types of transactions when the Company’s Consolidated Total Leverage Ratio, after giving pro forma effect thereto, exceeds 2.75 to 1.00. The Amended Credit Agreement continues to contain other customary affirmative and negative covenants as well as events of default.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Amended Credit Agreement, if in the future our Consolidated Total Leverage Ratio is greater than 3.00:1.00, or our Consolidated Interest Coverage Ratio is less than 3.00:1.00, or if we otherwise fail to perform or otherwise comply with certain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covenants or other agreements under the Amended Credit Agreement, it would result in an event of default under the Amended Credit Agreement, which could result in some or all of our then-outstanding indebtedness becoming immediately due and payable.</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rPr>
        <w:t>At June 30, 2026, we ha</w:t>
      </w:r>
      <w:r>
        <w:rPr>
          <w:rFonts w:ascii="Times New Roman;serif" w:hAnsi="Times New Roman;serif"/>
          <w:b w:val="false"/>
          <w:color w:val="000000"/>
          <w:sz w:val="20"/>
          <w:shd w:fill="FFFFFF" w:val="clear"/>
        </w:rPr>
        <w:t>d $12.2 million in ou</w:t>
      </w:r>
      <w:r>
        <w:rPr>
          <w:rFonts w:ascii="Times New Roman;serif" w:hAnsi="Times New Roman;serif"/>
          <w:b w:val="false"/>
          <w:color w:val="000000"/>
          <w:sz w:val="20"/>
        </w:rPr>
        <w:t xml:space="preserve">tstanding letters of credit and no outstanding borrowings under our revolving credit facility.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0"/>
        <w:jc w:val="left"/>
        <w:rPr/>
      </w:pPr>
      <w:r>
        <w:rPr>
          <w:rFonts w:ascii="Times New Roman;serif" w:hAnsi="Times New Roman;serif"/>
          <w:b w:val="false"/>
          <w:color w:val="000000"/>
          <w:sz w:val="20"/>
        </w:rPr>
        <w:t>Our cash flow from operations is not only influenced by cyclicality, demand for our services, operating margins and the type of services we provide, bu</w:t>
      </w:r>
      <w:r>
        <w:rPr>
          <w:rFonts w:ascii="Times New Roman;serif" w:hAnsi="Times New Roman;serif"/>
          <w:b w:val="false"/>
          <w:color w:val="000000"/>
          <w:sz w:val="20"/>
          <w:shd w:fill="FFFFFF" w:val="clear"/>
        </w:rPr>
        <w:t xml:space="preserve">t can also be influenced by working capital needs such as the timing of our receivable collections. Working capital requirements may also be affected by needs associated with higher growth or acquisitions. Through the first quarter of fiscal 2027, we expect an increase in our working capital needs as a result of growth in the backlog of our Infrastructure Solutions segment, as this type of work is not progress billed, and due to the timing of certain payments such as annual incentive compensation payments and our annual insurance renewal.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Net cash provided by operating activities was $239.4 million during the nine months ended June 30, 2026, as compared to $154.1 million in the nine months ended June 30, 2025. The increase in operating cas</w:t>
      </w:r>
      <w:r>
        <w:rPr>
          <w:rFonts w:ascii="Times New Roman;serif" w:hAnsi="Times New Roman;serif"/>
          <w:b w:val="false"/>
          <w:color w:val="000000"/>
          <w:sz w:val="20"/>
          <w:shd w:fill="FFFFFF" w:val="clear"/>
        </w:rPr>
        <w:t>h flow primarily resulted from increased earnings in the nine months ended June 30, 2026 as compared with the nine months ended June 30, 2025, partially offset by an increased use of ca</w:t>
      </w:r>
      <w:r>
        <w:rPr>
          <w:rFonts w:ascii="Times New Roman;serif" w:hAnsi="Times New Roman;serif"/>
          <w:b w:val="false"/>
          <w:color w:val="000000"/>
          <w:sz w:val="20"/>
        </w:rPr>
        <w:t>sh for working capital.</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$265.5 million for the nine months ended June 30, 2026, compared to $114.1 million in the nine months ended June 30, 2025. During the nine months ended June 30, 2026, we used $143.1 million to fund the purchase of Gulf Island and $123.0 million for capital expenditures in support of the growth of our business, $19.5 million of which was used to acquire the real property and certain related assets of Broadwind Heavy Fabrications, Inc.'s production facility in Abilene, Texas. During the nine months ended June 30, 2025, we paid $44.9 million to acquire a membership interest in Jett Texas Company LLC (“Jett”), an investment company, as part of the financing of Jett's investment in the CB&amp;I storage solutions business. We also made capital expenditures of $47.3 million as we continued to purchase new assets instead of entering into new lease agreements at our Communications segment and made other capital expenditures to support the growth of our business. </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jc w:val="left"/>
        <w:rPr/>
      </w:pPr>
      <w:r>
        <w:rPr>
          <w:rFonts w:ascii="Times New Roman;serif" w:hAnsi="Times New Roman;serif"/>
          <w:b w:val="false"/>
          <w:color w:val="000000"/>
          <w:sz w:val="20"/>
        </w:rPr>
        <w:t xml:space="preserve">Net cash used in financing activities for the nine months ended June 30, 2026 was $23.8 million, compared to $32.4 million for the nine months ended June 30, 2025. Net cash used in financing activities for the nine months ended June 30, 2026, included $19.5 million used to repurchase our common </w:t>
      </w:r>
      <w:r>
        <w:rPr>
          <w:rFonts w:ascii="Times New Roman;serif" w:hAnsi="Times New Roman;serif"/>
          <w:b w:val="false"/>
          <w:color w:val="000000"/>
          <w:sz w:val="20"/>
          <w:shd w:fill="FFFFFF" w:val="clear"/>
        </w:rPr>
        <w:t>stock, primarily to satisfy statutory withholding requirements upon the vesting of employee stock compensation. Net cash used in financ</w:t>
      </w:r>
      <w:r>
        <w:rPr>
          <w:rFonts w:ascii="Times New Roman;serif" w:hAnsi="Times New Roman;serif"/>
          <w:b w:val="false"/>
          <w:color w:val="000000"/>
          <w:sz w:val="20"/>
        </w:rPr>
        <w:t>ing activities for the nine months ended June 30, 2025 included $41.6 million used to repurchase our common stock, including repurchases to satisfy statutory withholding requirements upon the vesting of employee stock compensation, and $7.5 million in distributions to noncontrolling interests under operating agreements in connection with certain acquisitions.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2024, our Board authorized a stock repurchase program for the purchase from time to time of up to $200.0 million of the Company’s common stock after the previous stock repurchase program was fully utilized.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repurchased 4,112 shares of our common stock in open market transactions during the nine months ended June 30,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June 30, 2026, we had firm commitments of $12.7 million outstanding under agreements to purchase materials in the next 12 months in the ordinary course of business. In January 2026, we funded our purchase of Gulf Island with a combination of borrowings on our revolving line of credit and cash on hand. In connection with the purchase of Gulf Island and the planned expansion of products produced there, as well as continuing investment in expanded customer offerings and capacity across our business, we raised our expected capital expenditure forecast for fiscal 2026 to a range of $145 million to $160 million. There have been no other material changes in our material cash requirements from those disclosed in our Annual Report on Form 10-K for the fiscal year ended September 30, 2025. We expect that cash and cash equivalents, cash flow from operations and availability under our revolving credit facility will be sufficient to satisfy cash requirements during at least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Management is actively involved in monitoring exposure to market risk and continues to develop and utilize appropriate risk management techniques. Our exposure to significant market risks includes fluctuations in labor costs and commodity prices. We are also exposed to interest rate risk with respect to any debt obligations we may incur under our revolving credit facility. For additional information see</w:t>
      </w:r>
      <w:r>
        <w:rPr>
          <w:color w:val="000000"/>
        </w:rPr>
        <w:t xml:space="preserve"> “</w:t>
      </w:r>
      <w:r>
        <w:rPr>
          <w:rFonts w:ascii="Times New Roman;serif" w:hAnsi="Times New Roman;serif"/>
          <w:b w:val="false"/>
          <w:i/>
          <w:color w:val="000000"/>
          <w:sz w:val="20"/>
        </w:rPr>
        <w:t>Disclosure Regarding Forward-Looking Statements”</w:t>
      </w:r>
      <w:r>
        <w:rPr>
          <w:color w:val="000000"/>
        </w:rPr>
        <w:t xml:space="preserve"> </w:t>
      </w:r>
      <w:r>
        <w:rPr>
          <w:rFonts w:ascii="Times New Roman;serif" w:hAnsi="Times New Roman;serif"/>
          <w:b w:val="false"/>
          <w:color w:val="000000"/>
          <w:sz w:val="20"/>
        </w:rPr>
        <w:t>in Part I of this Quarterly Report on Form 10-Q and our risk factors in Part I, Item 1A.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in our Annual Report on Form 10-K for the fiscal year ended September 30, 2025.</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Risk</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exposure to significant market risks includes fluctuations in commodity prices for, among other things, copper, aluminum, steel, electrical components, certain plastics and fuel. Commodity price risks may have an impact on our results of operations due to the fixed-price nature of many of our contracts. Over the long term, we expect to be able to pass along a portion of these costs to our customers, as market conditions in the industries we serve will allow.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Investment Risk</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We are exposed to market price volatility for our investments in marketable securities which</w:t>
      </w:r>
      <w:r>
        <w:rPr>
          <w:color w:val="000000"/>
        </w:rPr>
        <w:t xml:space="preserve"> </w:t>
      </w:r>
      <w:r>
        <w:rPr>
          <w:rFonts w:ascii="Times New Roman;serif" w:hAnsi="Times New Roman;serif"/>
          <w:b w:val="false"/>
          <w:color w:val="000000"/>
          <w:sz w:val="20"/>
        </w:rPr>
        <w:t>are carried at fair value measured using market prices, with gains and losses included under "Interest and other income (expense)" on our Condensed Consolidated Statements of Comprehensive Income. Changes in the market value of these investments could create volatility in our reported earnings from period to period, and a decline in value of our invest</w:t>
      </w:r>
      <w:r>
        <w:rPr>
          <w:rFonts w:ascii="Times New Roman;serif" w:hAnsi="Times New Roman;serif"/>
          <w:b w:val="false"/>
          <w:color w:val="000000"/>
          <w:sz w:val="20"/>
          <w:shd w:fill="FFFFFF" w:val="clear"/>
        </w:rPr>
        <w:t>ments could have an adverse impact on our reported earnings. Changes in market value of these investments measured at fair value resulted in an unrealized gain of $56.1 million in the nine months ended June 30, 2026. As of June 30, 2026, we had investments in marketable securitie</w:t>
      </w:r>
      <w:r>
        <w:rPr>
          <w:rFonts w:ascii="Times New Roman;serif" w:hAnsi="Times New Roman;serif"/>
          <w:b w:val="false"/>
          <w:color w:val="000000"/>
          <w:sz w:val="20"/>
        </w:rPr>
        <w:t>s with a fair value of $310.6 million, and a 10% increase or decrease in the market value of these investments would cause a $31.1 million increase or decrease, respectively, to the carrying value of our investments in marketable securities and our pre-tax income. The hypothetical 10% increase or decrease does not represent the maximum extent to which the fair value of our investments could be affected by changes in market conditions. Our investments could decline in value by a far greater amount as a result of volatility in the equity markets and the concentrated nature of our investment portfolio.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Floating rate debt, where the interest rate fluctuates periodically, exposes us to short-term changes in market interest rates. Any borrowings under our revolving credit facility are structured on floating rate terms. We currently do not maintain any hedging contracts that would limit our exposure to variable rates of interest when we have outstanding borrowings under our revolving credit facility. The Amended Credit Agreement uses SOFR as the benchmark for establishing the interest rate charged on our borrowings. If SOFR were to increase, our interest payment obligations on any then-outstanding borrowings would increase, having a negative effect on our cash flow and financial condition. We had no borrowings outstanding under our revolving credit facility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There have been no changes in the Company’s internal control over financial reporting (as such term is defined in Rules 13a-15 and 15d-15 under the Securities Exchange Act of 1934, as amended (the “Exchange Act”)) during the fiscal quarter to which this report relates that</w:t>
      </w:r>
      <w:r>
        <w:rPr>
          <w:color w:val="000000"/>
          <w:shd w:fill="FFFFFF" w:val="clear"/>
        </w:rPr>
        <w:t xml:space="preserve"> </w:t>
      </w:r>
      <w:r>
        <w:rPr>
          <w:rFonts w:ascii="Times New Roman;serif" w:hAnsi="Times New Roman;serif"/>
          <w:b w:val="false"/>
          <w:color w:val="000000"/>
          <w:sz w:val="20"/>
          <w:shd w:fill="FFFFFF" w:val="clear"/>
        </w:rPr>
        <w:t xml:space="preserve">have materially affected, or are reasonably likely to materially affect, the Company’s internal control over financial reporting. We are in the process of implementing a new enterprise resource planning (“ERP”) system, which will replace and upgrade many of our existing financial systems and processes. The ERP system is designed to accurately maintain our financial records and provide timely information to management to be used in operating the business. The first phase was implemented in the quarter ended December 31, 2024 and the Company continued working toward the next phase of the implementation through the quarter ended June 30, 2026. This next phase was implemented in July 2026. As the implementation activities progress, we will </w:t>
      </w:r>
      <w:r>
        <w:rPr>
          <w:rFonts w:ascii="Times New Roman;serif" w:hAnsi="Times New Roman;serif"/>
          <w:b w:val="false"/>
          <w:color w:val="000000"/>
          <w:sz w:val="20"/>
        </w:rPr>
        <w:t>continue to monitor the impact of the implementation on our financial reporting business processes and evaluate each quarter whether there are changes that affect our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June 30, 2026,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disclosed in reports filed or submitted under the Exchange Act is accumulated and communicated to our management, including our Chief Executive Officer and Chief Financial Officer, as appropriate, to allow timely decisions regarding required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information regarding legal proceedings, see Note 12, “Commitments and Contingencies – Legal Matters” in the Notes to our Condensed Consolidated Financial Statements set forth in Part I, Item 1 of this Quarterly Report on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There have been no material changes to the risk factors disclosed under Part I, Item 1A.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Annual Report on Form 10-K for the fiscal year ended September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2. </w:t>
      </w:r>
      <w:r>
        <w:rPr>
          <w:rFonts w:ascii="Times New Roman;serif" w:hAnsi="Times New Roman;serif"/>
          <w:b/>
          <w:i/>
          <w:color w:val="000000"/>
          <w:sz w:val="20"/>
        </w:rPr>
        <w:t>Unregistered Sales of Equity Securities and Use of Proceeds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439"/>
        <w:gridCol w:w="388"/>
        <w:gridCol w:w="392"/>
        <w:gridCol w:w="491"/>
        <w:gridCol w:w="491"/>
        <w:gridCol w:w="493"/>
        <w:gridCol w:w="289"/>
        <w:gridCol w:w="990"/>
        <w:gridCol w:w="149"/>
        <w:gridCol w:w="808"/>
        <w:gridCol w:w="808"/>
        <w:gridCol w:w="811"/>
        <w:gridCol w:w="109"/>
        <w:gridCol w:w="1388"/>
        <w:gridCol w:w="1133"/>
        <w:gridCol w:w="1026"/>
      </w:tblGrid>
      <w:tr>
        <w:trPr/>
        <w:tc>
          <w:tcPr>
            <w:tcW w:w="43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2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Total Number of Shares Purchased as Part of a Publicly Announced Plan </w:t>
            </w:r>
          </w:p>
        </w:tc>
        <w:tc>
          <w:tcPr>
            <w:tcW w:w="109" w:type="dxa"/>
            <w:tcBorders/>
            <w:vAlign w:val="center"/>
          </w:tcPr>
          <w:p>
            <w:pPr>
              <w:pStyle w:val="TableContents"/>
              <w:bidi w:val="0"/>
              <w:spacing w:before="0" w:after="283"/>
              <w:jc w:val="left"/>
              <w:rPr>
                <w:sz w:val="4"/>
                <w:szCs w:val="4"/>
              </w:rPr>
            </w:pPr>
            <w:r>
              <w:rPr>
                <w:sz w:val="4"/>
                <w:szCs w:val="4"/>
              </w:rPr>
            </w:r>
          </w:p>
        </w:tc>
        <w:tc>
          <w:tcPr>
            <w:tcW w:w="35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Maximum Dollar Value of Shares That May Yet Be Purchased Under the Publicly Announced Plan </w:t>
            </w:r>
            <w:r>
              <w:rPr>
                <w:rFonts w:ascii="Times New Roman;serif" w:hAnsi="Times New Roman;serif"/>
                <w:b w:val="false"/>
                <w:color w:val="000000"/>
                <w:sz w:val="13"/>
              </w:rPr>
              <w:t>(1)</w:t>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166,230,823</w:t>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166,230,823</w:t>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166,230,823</w:t>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166,230,823</w:t>
            </w:r>
          </w:p>
        </w:tc>
      </w:tr>
    </w:tbl>
    <w:p>
      <w:pPr>
        <w:pStyle w:val="TextBody"/>
        <w:bidi w:val="0"/>
        <w:spacing w:lineRule="auto" w:line="288" w:before="0" w:after="0"/>
        <w:ind w:left="0" w:right="0" w:hanging="450"/>
        <w:jc w:val="left"/>
        <w:rPr/>
      </w:pPr>
      <w:r>
        <w:rPr>
          <w:rFonts w:ascii="Times New Roman;serif" w:hAnsi="Times New Roman;serif"/>
          <w:b w:val="false"/>
          <w:color w:val="000000"/>
          <w:sz w:val="16"/>
        </w:rPr>
        <w:t>(1)</w:t>
      </w:r>
      <w:r>
        <w:rPr>
          <w:color w:val="000000"/>
        </w:rPr>
        <w:t>    </w:t>
      </w:r>
      <w:r>
        <w:rPr>
          <w:rFonts w:ascii="Times New Roman;serif" w:hAnsi="Times New Roman;serif"/>
          <w:b w:val="false"/>
          <w:color w:val="000000"/>
          <w:sz w:val="16"/>
        </w:rPr>
        <w:t>On July 31, 2024, the Board authorized a new stock repurchase program for the purchase of up to $200 million of the Company’s common stock from time to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3. </w:t>
      </w:r>
      <w:r>
        <w:rPr>
          <w:rFonts w:ascii="Times New Roman;serif" w:hAnsi="Times New Roman;serif"/>
          <w:b/>
          <w:i/>
          <w:color w:val="000000"/>
          <w:sz w:val="20"/>
        </w:rPr>
        <w:t>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Rule 10b5-1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members of the Company's Board of Directors and officers of the Company may enter into Rule 10b5-1 trading plans, which allow for the purchase or sale of common stock under pre-established terms at times when directors and officers might otherwise be prevented from trading under insider trading laws or because of self-imposed blackout periods. Such trading plans are intended to satisfy the affirmative defense conditions of Rule 10b5-1(c) under the Exchange Act and comply with the Company's Insider Trading Policy. During the three months ended June 30, 2026, none of the Company's directors or officers adopted, modified or terminated a “Rule 10b5-1 trading arrangement” or a “non-Rule 10b5-1 trading arrangement” as each term is defined under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273"/>
        <w:gridCol w:w="240"/>
        <w:gridCol w:w="241"/>
        <w:gridCol w:w="2757"/>
        <w:gridCol w:w="2757"/>
        <w:gridCol w:w="3937"/>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3937" w:type="dxa"/>
            <w:tcBorders/>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Exhibit</w:t>
            </w:r>
            <w:r>
              <w:rPr>
                <w:color w:val="000000"/>
              </w:rPr>
              <w:t xml:space="preserve"> </w:t>
            </w:r>
          </w:p>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No.</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94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20"/>
                  <w:u w:val="single"/>
                </w:rPr>
                <w:t>Second Amended and Restated Certificate of Incorporation of IES Holdings, Inc., as amended by the Certificate of Amendment thereto, effective May 24, 2016 (composite). (Incorporated by reference to Exhibit 3.1 to the Company’s Quarterly Report on Form 10-Q filed on August 8, 2016).</w:t>
              </w:r>
            </w:hyperlink>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20"/>
                  <w:u w:val="single"/>
                </w:rPr>
                <w:t>Amended and Restated Bylaws of IES Holdings, Inc., effective April 28, 2021. (Incorporated by reference to Exhibit 3.3 to the Company's Quarterly Report on Form 10-Q filed on April 30, 2021).</w:t>
              </w:r>
            </w:hyperlink>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94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20"/>
                  <w:u w:val="single"/>
                </w:rPr>
                <w:t>Specimen common stock certificate. (Incorporated by reference to Exhibit 4.1 to the Company’s Annual Report on Form 10-K filed on December 9, 2016).</w:t>
              </w:r>
            </w:hyperlink>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32026ex311-june.htm">
              <w:r>
                <w:rPr>
                  <w:rStyle w:val="InternetLink"/>
                  <w:rFonts w:ascii="Times New Roman;serif" w:hAnsi="Times New Roman;serif"/>
                  <w:b w:val="false"/>
                  <w:color w:val="0000FF"/>
                  <w:sz w:val="20"/>
                  <w:u w:val="single"/>
                </w:rPr>
                <w:t>Rule 13a-14(a)/15d-14(a) Certification of Matthew J. Simmes, President and Chief Executive Officer</w:t>
              </w:r>
            </w:hyperlink>
            <w:r>
              <w:rPr>
                <w:color w:val="000000"/>
              </w:rPr>
              <w:t xml:space="preserve"> </w:t>
            </w:r>
            <w:r>
              <w:rPr>
                <w:rFonts w:ascii="Times New Roman;serif" w:hAnsi="Times New Roman;serif"/>
                <w:b w:val="false"/>
                <w:color w:val="000000"/>
                <w:sz w:val="13"/>
              </w:rPr>
              <w:t>(1)</w:t>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9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32026ex312-june.htm">
              <w:r>
                <w:rPr>
                  <w:rStyle w:val="InternetLink"/>
                  <w:rFonts w:ascii="Times New Roman;serif" w:hAnsi="Times New Roman;serif"/>
                  <w:b w:val="false"/>
                  <w:color w:val="0000FF"/>
                  <w:sz w:val="20"/>
                  <w:u w:val="single"/>
                </w:rPr>
                <w:t xml:space="preserve">Rule 13a-14(a)/15d-14(a) Certification of Tracy A. McLauchlin, Senior Vice President, Chief Financial Officer and Treasurer </w:t>
              </w:r>
            </w:hyperlink>
            <w:r>
              <w:rPr>
                <w:rFonts w:ascii="Times New Roman;serif" w:hAnsi="Times New Roman;serif"/>
                <w:b w:val="false"/>
                <w:color w:val="000000"/>
                <w:sz w:val="13"/>
              </w:rPr>
              <w:t>(1)</w:t>
            </w:r>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32026ex321-june.htm">
              <w:r>
                <w:rPr>
                  <w:rStyle w:val="InternetLink"/>
                  <w:rFonts w:ascii="Times New Roman;serif" w:hAnsi="Times New Roman;serif"/>
                  <w:b w:val="false"/>
                  <w:color w:val="0000FF"/>
                  <w:sz w:val="20"/>
                  <w:u w:val="single"/>
                </w:rPr>
                <w:t>Section 1350 Certification of Matthew J. Simmes, President and Chief Executive Officer</w:t>
              </w:r>
            </w:hyperlink>
            <w:r>
              <w:rPr>
                <w:color w:val="000000"/>
              </w:rPr>
              <w:t xml:space="preserve"> </w:t>
            </w:r>
            <w:r>
              <w:rPr>
                <w:rFonts w:ascii="Times New Roman;serif" w:hAnsi="Times New Roman;serif"/>
                <w:b w:val="false"/>
                <w:color w:val="000000"/>
                <w:sz w:val="13"/>
              </w:rPr>
              <w:t>(2)</w:t>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9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32026ex322-june.htm">
              <w:r>
                <w:rPr>
                  <w:rStyle w:val="InternetLink"/>
                  <w:rFonts w:ascii="Times New Roman;serif" w:hAnsi="Times New Roman;serif"/>
                  <w:b w:val="false"/>
                  <w:color w:val="0000FF"/>
                  <w:sz w:val="20"/>
                  <w:u w:val="single"/>
                </w:rPr>
                <w:t>Section 1350 Certification of Tracy A. McLauchlin, Senior Vice President, Chief Financial Officer and Treasurer</w:t>
              </w:r>
            </w:hyperlink>
            <w:r>
              <w:rPr>
                <w:color w:val="000000"/>
              </w:rPr>
              <w:t xml:space="preserve"> </w:t>
            </w:r>
            <w:r>
              <w:rPr>
                <w:rFonts w:ascii="Times New Roman;serif" w:hAnsi="Times New Roman;serif"/>
                <w:b w:val="false"/>
                <w:color w:val="000000"/>
                <w:sz w:val="13"/>
              </w:rPr>
              <w:t>(2)</w:t>
            </w:r>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Inline XBRL Instance Document - the instance document does not appear in the Interactive Data File because its XBRL tags are embedded within the Inline XBRL document </w:t>
            </w:r>
            <w:r>
              <w:rPr>
                <w:rFonts w:ascii="Times New Roman;serif" w:hAnsi="Times New Roman;serif"/>
                <w:b w:val="false"/>
                <w:color w:val="000000"/>
                <w:sz w:val="13"/>
              </w:rPr>
              <w:t>(1)</w:t>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9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XBRL Schema Document </w:t>
            </w:r>
            <w:r>
              <w:rPr>
                <w:rFonts w:ascii="Times New Roman;serif" w:hAnsi="Times New Roman;serif"/>
                <w:b w:val="false"/>
                <w:color w:val="000000"/>
                <w:sz w:val="13"/>
              </w:rPr>
              <w:t>(1)</w:t>
            </w:r>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XBRL Label Linkbase Document </w:t>
            </w:r>
            <w:r>
              <w:rPr>
                <w:rFonts w:ascii="Times New Roman;serif" w:hAnsi="Times New Roman;serif"/>
                <w:b w:val="false"/>
                <w:color w:val="000000"/>
                <w:sz w:val="13"/>
              </w:rPr>
              <w:t>(1)</w:t>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9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XBRL Presentation Linkbase Document </w:t>
            </w:r>
            <w:r>
              <w:rPr>
                <w:rFonts w:ascii="Times New Roman;serif" w:hAnsi="Times New Roman;serif"/>
                <w:b w:val="false"/>
                <w:color w:val="000000"/>
                <w:sz w:val="13"/>
              </w:rPr>
              <w:t>(1)</w:t>
            </w:r>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XBRL Definition Linkbase Document </w:t>
            </w:r>
            <w:r>
              <w:rPr>
                <w:rFonts w:ascii="Times New Roman;serif" w:hAnsi="Times New Roman;serif"/>
                <w:b w:val="false"/>
                <w:color w:val="000000"/>
                <w:sz w:val="13"/>
              </w:rPr>
              <w:t>(1)</w:t>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9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XBRL Calculation Linkbase Document </w:t>
            </w:r>
            <w:r>
              <w:rPr>
                <w:rFonts w:ascii="Times New Roman;serif" w:hAnsi="Times New Roman;serif"/>
                <w:b w:val="false"/>
                <w:color w:val="000000"/>
                <w:sz w:val="13"/>
              </w:rPr>
              <w:t>(1)</w:t>
            </w:r>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exhibits not otherwise designated are incorporated by reference to a prior filing with the SEC as indicated.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on July 31, 2026.</w:t>
      </w:r>
    </w:p>
    <w:p>
      <w:pPr>
        <w:pStyle w:val="TextBody"/>
        <w:bidi w:val="0"/>
        <w:spacing w:before="0" w:after="0"/>
        <w:jc w:val="left"/>
        <w:rPr/>
      </w:pPr>
      <w:r>
        <w:rPr/>
      </w:r>
    </w:p>
    <w:tbl>
      <w:tblPr>
        <w:tblW w:w="5844" w:type="dxa"/>
        <w:jc w:val="left"/>
        <w:tblInd w:w="0" w:type="dxa"/>
        <w:tblLayout w:type="fixed"/>
        <w:tblCellMar>
          <w:top w:w="28" w:type="dxa"/>
          <w:left w:w="28" w:type="dxa"/>
          <w:bottom w:w="28" w:type="dxa"/>
          <w:right w:w="28" w:type="dxa"/>
        </w:tblCellMar>
      </w:tblPr>
      <w:tblGrid>
        <w:gridCol w:w="124"/>
        <w:gridCol w:w="109"/>
        <w:gridCol w:w="109"/>
        <w:gridCol w:w="314"/>
        <w:gridCol w:w="314"/>
        <w:gridCol w:w="314"/>
        <w:gridCol w:w="1323"/>
        <w:gridCol w:w="1323"/>
        <w:gridCol w:w="19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IES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TRACY A. MCLAUCHLIN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Tracy A. McLauchlin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and Authorized Signatory)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 Matthew J. Simmes, certify that: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1. I have reviewed this Quarterly Report on Form 10-Q of IES Holdings, Inc.;</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40" w:after="283"/>
        <w:jc w:val="both"/>
        <w:rPr/>
      </w:pPr>
      <w:r>
        <w:rPr/>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Date: July 31, 2026</w:t>
      </w:r>
    </w:p>
    <w:p>
      <w:pPr>
        <w:pStyle w:val="TextBody"/>
        <w:bidi w:val="0"/>
        <w:spacing w:lineRule="auto" w:line="288" w:before="140" w:after="283"/>
        <w:jc w:val="left"/>
        <w:rPr>
          <w:color w:val="000000"/>
        </w:rPr>
      </w:pPr>
      <w:r>
        <w:rPr>
          <w:color w:val="000000"/>
        </w:rPr>
        <w:t> </w:t>
      </w:r>
    </w:p>
    <w:tbl>
      <w:tblPr>
        <w:tblW w:w="6011" w:type="dxa"/>
        <w:jc w:val="left"/>
        <w:tblInd w:w="0" w:type="dxa"/>
        <w:tblLayout w:type="fixed"/>
        <w:tblCellMar>
          <w:top w:w="28" w:type="dxa"/>
          <w:left w:w="28" w:type="dxa"/>
          <w:bottom w:w="28" w:type="dxa"/>
          <w:right w:w="28" w:type="dxa"/>
        </w:tblCellMar>
      </w:tblPr>
      <w:tblGrid>
        <w:gridCol w:w="124"/>
        <w:gridCol w:w="109"/>
        <w:gridCol w:w="109"/>
        <w:gridCol w:w="1659"/>
        <w:gridCol w:w="1659"/>
        <w:gridCol w:w="23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center"/>
              <w:rPr/>
            </w:pPr>
            <w:r>
              <w:rPr/>
              <w:t>/s/ MATTHEW J. SIMMES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Simmes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 as Principal Executive Officer</w:t>
            </w:r>
          </w:p>
          <w:p>
            <w:pPr>
              <w:pStyle w:val="TableContents"/>
              <w:bidi w:val="0"/>
              <w:spacing w:lineRule="auto" w:line="288" w:before="0" w:after="0"/>
              <w:jc w:val="center"/>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6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 Tracy A. McLauchlin, certify that: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1. I have reviewed this Quarterly Report on Form 10-Q of IES Holdings, Inc.;</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40" w:after="283"/>
        <w:jc w:val="both"/>
        <w:rPr/>
      </w:pPr>
      <w:r>
        <w:rPr/>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Date: July 31, 2026</w:t>
      </w:r>
    </w:p>
    <w:tbl>
      <w:tblPr>
        <w:tblW w:w="4481" w:type="dxa"/>
        <w:jc w:val="left"/>
        <w:tblInd w:w="0" w:type="dxa"/>
        <w:tblLayout w:type="fixed"/>
        <w:tblCellMar>
          <w:top w:w="28" w:type="dxa"/>
          <w:left w:w="28" w:type="dxa"/>
          <w:bottom w:w="28" w:type="dxa"/>
          <w:right w:w="28" w:type="dxa"/>
        </w:tblCellMar>
      </w:tblPr>
      <w:tblGrid>
        <w:gridCol w:w="124"/>
        <w:gridCol w:w="109"/>
        <w:gridCol w:w="109"/>
        <w:gridCol w:w="1212"/>
        <w:gridCol w:w="1212"/>
        <w:gridCol w:w="17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TRACY A. MCLAUCHLIN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Tracy A. McLauchlin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Principal Financial Officer</w:t>
            </w:r>
          </w:p>
          <w:p>
            <w:pPr>
              <w:pStyle w:val="TableContents"/>
              <w:bidi w:val="0"/>
              <w:spacing w:lineRule="auto" w:line="288" w:before="0" w:after="0"/>
              <w:jc w:val="center"/>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this Quarterly Report of IES Holdings, Inc. (the “Company”) on Form 10-Q for the period ending June 30, 2026 (the “Report”), I, Matthew J. Simmes, Chief Executive Officer of the Company, certify, pursuant to 18 U.S.C. § 1350, as adopted pursuant to § 906 of the Sarbanes-Oxley Act of 2002, that:</w:t>
      </w:r>
    </w:p>
    <w:p>
      <w:pPr>
        <w:pStyle w:val="TextBody"/>
        <w:bidi w:val="0"/>
        <w:spacing w:before="140" w:after="283"/>
        <w:jc w:val="both"/>
        <w:rPr/>
      </w:pPr>
      <w:r>
        <w:rPr/>
      </w:r>
    </w:p>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40" w:after="283"/>
        <w:jc w:val="both"/>
        <w:rPr/>
      </w:pPr>
      <w:r>
        <w:rPr/>
      </w:r>
    </w:p>
    <w:tbl>
      <w:tblPr>
        <w:tblW w:w="7782" w:type="dxa"/>
        <w:jc w:val="left"/>
        <w:tblInd w:w="0" w:type="dxa"/>
        <w:tblLayout w:type="fixed"/>
        <w:tblCellMar>
          <w:top w:w="28" w:type="dxa"/>
          <w:left w:w="28" w:type="dxa"/>
          <w:bottom w:w="28" w:type="dxa"/>
          <w:right w:w="28" w:type="dxa"/>
        </w:tblCellMar>
      </w:tblPr>
      <w:tblGrid>
        <w:gridCol w:w="213"/>
        <w:gridCol w:w="187"/>
        <w:gridCol w:w="187"/>
        <w:gridCol w:w="187"/>
        <w:gridCol w:w="187"/>
        <w:gridCol w:w="187"/>
        <w:gridCol w:w="187"/>
        <w:gridCol w:w="187"/>
        <w:gridCol w:w="187"/>
        <w:gridCol w:w="134"/>
        <w:gridCol w:w="134"/>
        <w:gridCol w:w="136"/>
        <w:gridCol w:w="1660"/>
        <w:gridCol w:w="1660"/>
        <w:gridCol w:w="2349"/>
      </w:tblGrid>
      <w:tr>
        <w:trPr/>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r>
      <w:tr>
        <w:trPr/>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J. SIMMES</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Simmes</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 as Principal Executive Officer</w:t>
            </w:r>
          </w:p>
          <w:p>
            <w:pPr>
              <w:pStyle w:val="TableContents"/>
              <w:bidi w:val="0"/>
              <w:spacing w:before="0" w:after="0"/>
              <w:jc w:val="center"/>
              <w:rPr/>
            </w:pPr>
            <w:r>
              <w:rPr/>
            </w:r>
          </w:p>
        </w:tc>
      </w:tr>
      <w:tr>
        <w:trPr/>
        <w:tc>
          <w:tcPr>
            <w:tcW w:w="58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56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this Quarterly Report of IES Holdings, Inc. (the “Company”) on Form 10-Q for the period ending June 30, 2026 (the “Report”), I, Tracy A. McLauchlin, Senior Vice President, Chief Financial Officer and Treasurer of the Company, certify, pursuant to 18 U.S.C. § 1350, as adopted pursuant to § 906 of the Sarbanes-Oxley Act of 2002, that:</w:t>
      </w:r>
    </w:p>
    <w:p>
      <w:pPr>
        <w:pStyle w:val="TextBody"/>
        <w:bidi w:val="0"/>
        <w:spacing w:before="140" w:after="283"/>
        <w:jc w:val="both"/>
        <w:rPr/>
      </w:pPr>
      <w:r>
        <w:rPr/>
      </w:r>
    </w:p>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40" w:after="283"/>
        <w:jc w:val="both"/>
        <w:rPr/>
      </w:pPr>
      <w:r>
        <w:rPr/>
      </w:r>
    </w:p>
    <w:tbl>
      <w:tblPr>
        <w:tblW w:w="6242" w:type="dxa"/>
        <w:jc w:val="left"/>
        <w:tblInd w:w="0" w:type="dxa"/>
        <w:tblLayout w:type="fixed"/>
        <w:tblCellMar>
          <w:top w:w="28" w:type="dxa"/>
          <w:left w:w="28" w:type="dxa"/>
          <w:bottom w:w="28" w:type="dxa"/>
          <w:right w:w="28" w:type="dxa"/>
        </w:tblCellMar>
      </w:tblPr>
      <w:tblGrid>
        <w:gridCol w:w="160"/>
        <w:gridCol w:w="140"/>
        <w:gridCol w:w="140"/>
        <w:gridCol w:w="140"/>
        <w:gridCol w:w="140"/>
        <w:gridCol w:w="140"/>
        <w:gridCol w:w="140"/>
        <w:gridCol w:w="140"/>
        <w:gridCol w:w="140"/>
        <w:gridCol w:w="140"/>
        <w:gridCol w:w="140"/>
        <w:gridCol w:w="140"/>
        <w:gridCol w:w="134"/>
        <w:gridCol w:w="134"/>
        <w:gridCol w:w="136"/>
        <w:gridCol w:w="643"/>
        <w:gridCol w:w="643"/>
        <w:gridCol w:w="643"/>
        <w:gridCol w:w="643"/>
        <w:gridCol w:w="643"/>
        <w:gridCol w:w="923"/>
      </w:tblGrid>
      <w:tr>
        <w:trPr/>
        <w:tc>
          <w:tcPr>
            <w:tcW w:w="1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170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TRACY A. MCLAUCHLIN</w:t>
            </w:r>
          </w:p>
        </w:tc>
      </w:tr>
      <w:tr>
        <w:trPr/>
        <w:tc>
          <w:tcPr>
            <w:tcW w:w="170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Tracy A. McLauchlin</w:t>
            </w:r>
          </w:p>
        </w:tc>
      </w:tr>
      <w:tr>
        <w:trPr/>
        <w:tc>
          <w:tcPr>
            <w:tcW w:w="170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Principal Financial Officer</w:t>
            </w:r>
          </w:p>
        </w:tc>
      </w:tr>
      <w:tr>
        <w:trPr/>
        <w:tc>
          <w:tcPr>
            <w:tcW w:w="44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48268/000119312516674386/d211495dex31.htm" TargetMode="External"/><Relationship Id="rId4" Type="http://schemas.openxmlformats.org/officeDocument/2006/relationships/hyperlink" Target="https://www.sec.gov/Archives/edgar/data/1048268/000104826821000065/amendedandrestatedbylawsof.htm" TargetMode="External"/><Relationship Id="rId5" Type="http://schemas.openxmlformats.org/officeDocument/2006/relationships/hyperlink" Target="https://www.sec.gov/Archives/edgar/data/1048268/000119312516789187/d310826d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21662</Words>
  <Characters>119840</Characters>
  <CharactersWithSpaces>139992</CharactersWithSpaces>
  <Paragraphs>3101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