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57156.xml.htm"/>
      <w:bookmarkStart w:id="1" w:name="kswkform4_179095715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Koshkin Joe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89,879</w:t>
            </w:r>
            <w:r>
              <w:rPr>
                <w:rFonts w:ascii="Times;serif" w:hAnsi="Times;serif"/>
                <w:color w:val="008000"/>
                <w:position w:val="7"/>
                <w:sz w:val="16"/>
                <w:sz w:val="20"/>
                <w:shd w:fill="FFFFFF" w:val="clear"/>
              </w:rPr>
              <w:t>(2)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Koshkin electing to receive PSUs in lieu of cash or common stock for that portion of his retainer. Each unit converts to one share of IES common stock when either (i) Mr. Koshkin leaves the board of directors for any reason, or (ii) upon a change of control as defined in the 2006 Equity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21, 2026, the Issuer executed a two-for-one stock split with a record date of August 14, 2026, effected in the form of a one-time special stock dividend on each share of the company's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5394"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688</Words>
  <Characters>3645</Characters>
  <CharactersWithSpaces>4264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